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994B7" w14:textId="77777777" w:rsidR="00DF2B76" w:rsidRPr="00B327EB" w:rsidRDefault="00AB2DEF" w:rsidP="00587B2E">
      <w:pPr>
        <w:pStyle w:val="Prrafodelista"/>
        <w:numPr>
          <w:ilvl w:val="0"/>
          <w:numId w:val="13"/>
        </w:numPr>
        <w:spacing w:after="0" w:line="240" w:lineRule="auto"/>
        <w:ind w:left="567" w:hanging="283"/>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Si la madurez residual (o próxima fecha de reprecio) de las posiciones nocionales es mayor que 30 días y menor o igual a 365 días, y el descalce entre ellas es menor o igual a 7 días; o,</w:t>
      </w:r>
    </w:p>
    <w:p w14:paraId="26E89893" w14:textId="77777777" w:rsidR="00354640" w:rsidRPr="00B327EB" w:rsidRDefault="00354640" w:rsidP="003E7656">
      <w:pPr>
        <w:pStyle w:val="Prrafodelista"/>
        <w:spacing w:after="0" w:line="240" w:lineRule="auto"/>
        <w:ind w:left="567" w:hanging="283"/>
        <w:jc w:val="both"/>
        <w:rPr>
          <w:rFonts w:ascii="Arial" w:eastAsia="Times New Roman" w:hAnsi="Arial" w:cs="Arial"/>
          <w:sz w:val="18"/>
          <w:szCs w:val="18"/>
          <w:lang w:val="es-ES" w:eastAsia="es-ES"/>
        </w:rPr>
      </w:pPr>
    </w:p>
    <w:p w14:paraId="045B02FB" w14:textId="4F0BE917" w:rsidR="00DF2B76" w:rsidRPr="00B327EB" w:rsidRDefault="00AB2DEF" w:rsidP="003E7656">
      <w:pPr>
        <w:pStyle w:val="Prrafodelista"/>
        <w:numPr>
          <w:ilvl w:val="0"/>
          <w:numId w:val="13"/>
        </w:numPr>
        <w:spacing w:after="0" w:line="240" w:lineRule="auto"/>
        <w:ind w:left="567" w:hanging="283"/>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Si la madurez residual (o próxima fecha de reprecio) de las posiciones nocionales es mayor a 365 días y el descalce entre ellas es menor a 30 días; y</w:t>
      </w:r>
    </w:p>
    <w:p w14:paraId="16F9E43C" w14:textId="77777777" w:rsidR="00354640" w:rsidRPr="00B327EB" w:rsidRDefault="00354640" w:rsidP="003E7656">
      <w:pPr>
        <w:pStyle w:val="Prrafodelista"/>
        <w:spacing w:after="0" w:line="240" w:lineRule="auto"/>
        <w:ind w:left="567" w:hanging="283"/>
        <w:jc w:val="both"/>
        <w:rPr>
          <w:rFonts w:ascii="Arial" w:eastAsia="Times New Roman" w:hAnsi="Arial" w:cs="Arial"/>
          <w:sz w:val="18"/>
          <w:szCs w:val="18"/>
          <w:lang w:val="es-ES" w:eastAsia="es-ES"/>
        </w:rPr>
      </w:pPr>
    </w:p>
    <w:p w14:paraId="328E0A23" w14:textId="77777777" w:rsidR="00AB2DEF" w:rsidRPr="00B327EB" w:rsidRDefault="00AB2DEF" w:rsidP="003E7656">
      <w:pPr>
        <w:pStyle w:val="Prrafodelista"/>
        <w:numPr>
          <w:ilvl w:val="0"/>
          <w:numId w:val="13"/>
        </w:numPr>
        <w:spacing w:after="0" w:line="240" w:lineRule="auto"/>
        <w:ind w:left="567" w:hanging="283"/>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 xml:space="preserve">Si las posiciones a calzar están en 2 categorías distintas </w:t>
      </w:r>
      <w:proofErr w:type="gramStart"/>
      <w:r w:rsidRPr="00B327EB">
        <w:rPr>
          <w:rFonts w:ascii="Arial" w:eastAsia="Times New Roman" w:hAnsi="Arial" w:cs="Arial"/>
          <w:sz w:val="18"/>
          <w:szCs w:val="18"/>
          <w:lang w:val="es-ES" w:eastAsia="es-ES"/>
        </w:rPr>
        <w:t>de acuerdo a</w:t>
      </w:r>
      <w:proofErr w:type="gramEnd"/>
      <w:r w:rsidRPr="00B327EB">
        <w:rPr>
          <w:rFonts w:ascii="Arial" w:eastAsia="Times New Roman" w:hAnsi="Arial" w:cs="Arial"/>
          <w:sz w:val="18"/>
          <w:szCs w:val="18"/>
          <w:lang w:val="es-ES" w:eastAsia="es-ES"/>
        </w:rPr>
        <w:t xml:space="preserve"> su madurez residual, el calce podrá realizarse sólo si se cumple con las condiciones de la posición con menor madurez residual. Por ejemplo, si se tiene una posición larga con una madurez residual de 363 días, esta podrá calzarse con una posición corta, con una madurez residual de hasta 369 días, para garantizar que el descalce entre ellas sea menor a 7 días.</w:t>
      </w:r>
    </w:p>
    <w:p w14:paraId="7E2977FB" w14:textId="77777777" w:rsidR="00354640" w:rsidRPr="00B327EB" w:rsidRDefault="00354640" w:rsidP="003E7656">
      <w:pPr>
        <w:pStyle w:val="Prrafodelista"/>
        <w:spacing w:after="0" w:line="240" w:lineRule="auto"/>
        <w:ind w:left="567" w:hanging="283"/>
        <w:jc w:val="both"/>
        <w:rPr>
          <w:rFonts w:ascii="Arial" w:eastAsia="Times New Roman" w:hAnsi="Arial" w:cs="Arial"/>
          <w:sz w:val="18"/>
          <w:szCs w:val="18"/>
          <w:lang w:val="es-ES" w:eastAsia="es-ES"/>
        </w:rPr>
      </w:pPr>
    </w:p>
    <w:p w14:paraId="0E27A7FA"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2.2.1 Medición del riesgo de tasa de interés</w:t>
      </w:r>
    </w:p>
    <w:p w14:paraId="1F1CB334"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2263CB55"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La exposición a riesgo de tasa de interés refleja el riesgo asociado a movimientos adversos en las tasas de interés del mercado. Dicha exposición debe ser medida por las entidades de manera separada para las posiciones en moneda legal, en moneda extranjera y en Unidades de Valor Real (UVR).</w:t>
      </w:r>
    </w:p>
    <w:p w14:paraId="26971CD5"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697C477B"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2.2.1.1 Cálculo de la duración modificada</w:t>
      </w:r>
    </w:p>
    <w:p w14:paraId="5BFC9026"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5FCF1E16"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Las entidades deberán calcular la duración modificada de cada una de las posiciones, incluyendo las nocionales asociadas a los instrumentos derivados, como una aproximación a la sensibilidad de su valor frente a cambios en la tasa de interés. Para dicho cálculo se debe utilizar la siguiente fórmula:</w:t>
      </w:r>
    </w:p>
    <w:p w14:paraId="0ECC4682"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27C21B1E" w14:textId="77777777" w:rsidR="00AB2DEF" w:rsidRPr="00B327EB" w:rsidRDefault="006A0B2B" w:rsidP="00354640">
      <w:pPr>
        <w:spacing w:after="0" w:line="240" w:lineRule="auto"/>
        <w:jc w:val="center"/>
        <w:rPr>
          <w:rFonts w:ascii="Arial" w:eastAsia="Times New Roman" w:hAnsi="Arial" w:cs="Arial"/>
          <w:sz w:val="18"/>
          <w:szCs w:val="18"/>
          <w:lang w:val="es-ES" w:eastAsia="es-ES"/>
        </w:rPr>
      </w:pPr>
      <w:r w:rsidRPr="00B327EB">
        <w:rPr>
          <w:rFonts w:ascii="Arial" w:eastAsia="Times New Roman" w:hAnsi="Arial" w:cs="Arial"/>
          <w:noProof/>
          <w:position w:val="-28"/>
          <w:sz w:val="18"/>
          <w:szCs w:val="18"/>
          <w:lang w:val="es-ES" w:eastAsia="es-ES"/>
        </w:rPr>
        <w:object w:dxaOrig="3379" w:dyaOrig="660" w14:anchorId="3E7BE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34.5pt" o:ole="">
            <v:imagedata r:id="rId11" o:title=""/>
          </v:shape>
          <o:OLEObject Type="Embed" ProgID="Equation.3" ShapeID="_x0000_i1025" DrawAspect="Content" ObjectID="_1749645319" r:id="rId12"/>
        </w:object>
      </w:r>
    </w:p>
    <w:p w14:paraId="64337D45"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p>
    <w:p w14:paraId="2CF379CF" w14:textId="5F6B1A8F"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D</w:t>
      </w:r>
      <w:r w:rsidR="003E7656" w:rsidRPr="00B327EB">
        <w:rPr>
          <w:rFonts w:ascii="Arial" w:eastAsia="Times New Roman" w:hAnsi="Arial" w:cs="Arial"/>
          <w:sz w:val="18"/>
          <w:szCs w:val="18"/>
          <w:lang w:val="es-ES" w:eastAsia="es-ES"/>
        </w:rPr>
        <w:t>o</w:t>
      </w:r>
      <w:r w:rsidRPr="00B327EB">
        <w:rPr>
          <w:rFonts w:ascii="Arial" w:eastAsia="Times New Roman" w:hAnsi="Arial" w:cs="Arial"/>
          <w:sz w:val="18"/>
          <w:szCs w:val="18"/>
          <w:lang w:val="es-ES" w:eastAsia="es-ES"/>
        </w:rPr>
        <w:t>nde:</w:t>
      </w:r>
    </w:p>
    <w:p w14:paraId="1394C821" w14:textId="5746E162"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r</w:t>
      </w:r>
      <w:r w:rsidRPr="00B327EB">
        <w:rPr>
          <w:rFonts w:ascii="Arial" w:eastAsia="Times New Roman" w:hAnsi="Arial" w:cs="Arial"/>
          <w:sz w:val="18"/>
          <w:szCs w:val="18"/>
          <w:lang w:val="es-ES" w:eastAsia="es-ES"/>
        </w:rPr>
        <w:tab/>
        <w:t xml:space="preserve">Último rendimiento disponible en la fecha de cálculo (tasa efectiva anual). Es </w:t>
      </w:r>
      <w:r w:rsidR="0097790D" w:rsidRPr="00B327EB">
        <w:rPr>
          <w:rFonts w:ascii="Arial" w:eastAsia="Times New Roman" w:hAnsi="Arial" w:cs="Arial"/>
          <w:sz w:val="18"/>
          <w:szCs w:val="18"/>
          <w:lang w:val="es-ES" w:eastAsia="es-ES"/>
        </w:rPr>
        <w:t>decir,</w:t>
      </w:r>
      <w:r w:rsidRPr="00B327EB">
        <w:rPr>
          <w:rFonts w:ascii="Arial" w:eastAsia="Times New Roman" w:hAnsi="Arial" w:cs="Arial"/>
          <w:sz w:val="18"/>
          <w:szCs w:val="18"/>
          <w:lang w:val="es-ES" w:eastAsia="es-ES"/>
        </w:rPr>
        <w:t xml:space="preserve"> la última tasa de descuento disponible para el título, de acuerdo con la información para valoración suministrada por el proveedor de precios designado como oficial para el segmento correspondiente.</w:t>
      </w:r>
    </w:p>
    <w:p w14:paraId="554147F0"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2D955F8F" w14:textId="59842FE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Para el cálculo de la duración de los diferentes instrumentos se deben seguir las instrucciones presentadas a continuación:</w:t>
      </w:r>
    </w:p>
    <w:p w14:paraId="57E58E69"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567FAD44" w14:textId="02EE698F" w:rsidR="00AB2DEF" w:rsidRPr="00B327EB" w:rsidRDefault="00AB2DEF" w:rsidP="00694B7B">
      <w:pPr>
        <w:pStyle w:val="Prrafodelista"/>
        <w:numPr>
          <w:ilvl w:val="0"/>
          <w:numId w:val="23"/>
        </w:numPr>
        <w:spacing w:after="0" w:line="240" w:lineRule="auto"/>
        <w:ind w:left="284" w:hanging="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Duración de instrumentos pactados a tasa fija.</w:t>
      </w:r>
    </w:p>
    <w:p w14:paraId="3ADB1CD8"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7B26EC01"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La duración de un título pactado a tasa fija corresponde al plazo promedio de los flujos asociados a dicho título. Partiendo de los flujos contractuales y de la tasa de rendimiento del título, la duración del instrumento corresponde a:</w:t>
      </w:r>
    </w:p>
    <w:p w14:paraId="4AC2BC5F"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1F38EE8E" w14:textId="77777777" w:rsidR="00AB2DEF" w:rsidRPr="00B327EB" w:rsidRDefault="006A0B2B" w:rsidP="00694B7B">
      <w:pPr>
        <w:spacing w:after="0" w:line="240" w:lineRule="auto"/>
        <w:ind w:left="284" w:hanging="284"/>
        <w:jc w:val="center"/>
        <w:rPr>
          <w:rFonts w:ascii="Arial" w:eastAsia="Times New Roman" w:hAnsi="Arial" w:cs="Arial"/>
          <w:sz w:val="18"/>
          <w:szCs w:val="18"/>
          <w:lang w:val="es-ES" w:eastAsia="es-ES"/>
        </w:rPr>
      </w:pPr>
      <w:r w:rsidRPr="00B327EB">
        <w:rPr>
          <w:rFonts w:ascii="Arial" w:eastAsia="Times New Roman" w:hAnsi="Arial" w:cs="Arial"/>
          <w:noProof/>
          <w:position w:val="-66"/>
          <w:sz w:val="18"/>
          <w:szCs w:val="18"/>
          <w:lang w:val="es-ES" w:eastAsia="es-ES"/>
        </w:rPr>
        <w:object w:dxaOrig="2920" w:dyaOrig="1480" w14:anchorId="3352A09D">
          <v:shape id="_x0000_i1026" type="#_x0000_t75" style="width:144.75pt;height:76.5pt" o:ole="">
            <v:imagedata r:id="rId13" o:title=""/>
          </v:shape>
          <o:OLEObject Type="Embed" ProgID="Equation.3" ShapeID="_x0000_i1026" DrawAspect="Content" ObjectID="_1749645320" r:id="rId14"/>
        </w:object>
      </w:r>
    </w:p>
    <w:p w14:paraId="77ADB682"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662491BA"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Donde:</w:t>
      </w:r>
    </w:p>
    <w:p w14:paraId="23F78C1A"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proofErr w:type="spellStart"/>
      <w:r w:rsidRPr="00B327EB">
        <w:rPr>
          <w:rFonts w:ascii="Arial" w:eastAsia="Times New Roman" w:hAnsi="Arial" w:cs="Arial"/>
          <w:sz w:val="18"/>
          <w:szCs w:val="18"/>
          <w:lang w:val="es-ES" w:eastAsia="es-ES"/>
        </w:rPr>
        <w:t>Fj</w:t>
      </w:r>
      <w:proofErr w:type="spellEnd"/>
      <w:r w:rsidRPr="00B327EB">
        <w:rPr>
          <w:rFonts w:ascii="Arial" w:eastAsia="Times New Roman" w:hAnsi="Arial" w:cs="Arial"/>
          <w:sz w:val="18"/>
          <w:szCs w:val="18"/>
          <w:lang w:val="es-ES" w:eastAsia="es-ES"/>
        </w:rPr>
        <w:tab/>
        <w:t>j-</w:t>
      </w:r>
      <w:proofErr w:type="spellStart"/>
      <w:r w:rsidRPr="00B327EB">
        <w:rPr>
          <w:rFonts w:ascii="Arial" w:eastAsia="Times New Roman" w:hAnsi="Arial" w:cs="Arial"/>
          <w:sz w:val="18"/>
          <w:szCs w:val="18"/>
          <w:lang w:val="es-ES" w:eastAsia="es-ES"/>
        </w:rPr>
        <w:t>ésimo</w:t>
      </w:r>
      <w:proofErr w:type="spellEnd"/>
      <w:r w:rsidRPr="00B327EB">
        <w:rPr>
          <w:rFonts w:ascii="Arial" w:eastAsia="Times New Roman" w:hAnsi="Arial" w:cs="Arial"/>
          <w:sz w:val="18"/>
          <w:szCs w:val="18"/>
          <w:lang w:val="es-ES" w:eastAsia="es-ES"/>
        </w:rPr>
        <w:t xml:space="preserve"> flujo de fondos del instrumento, j =</w:t>
      </w:r>
      <w:proofErr w:type="gramStart"/>
      <w:r w:rsidRPr="00B327EB">
        <w:rPr>
          <w:rFonts w:ascii="Arial" w:eastAsia="Times New Roman" w:hAnsi="Arial" w:cs="Arial"/>
          <w:sz w:val="18"/>
          <w:szCs w:val="18"/>
          <w:lang w:val="es-ES" w:eastAsia="es-ES"/>
        </w:rPr>
        <w:t>1,...</w:t>
      </w:r>
      <w:proofErr w:type="gramEnd"/>
      <w:r w:rsidRPr="00B327EB">
        <w:rPr>
          <w:rFonts w:ascii="Arial" w:eastAsia="Times New Roman" w:hAnsi="Arial" w:cs="Arial"/>
          <w:sz w:val="18"/>
          <w:szCs w:val="18"/>
          <w:lang w:val="es-ES" w:eastAsia="es-ES"/>
        </w:rPr>
        <w:t>, m.</w:t>
      </w:r>
    </w:p>
    <w:p w14:paraId="56DE4579"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6AC67AC3"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proofErr w:type="spellStart"/>
      <w:r w:rsidRPr="00B327EB">
        <w:rPr>
          <w:rFonts w:ascii="Arial" w:eastAsia="Times New Roman" w:hAnsi="Arial" w:cs="Arial"/>
          <w:sz w:val="18"/>
          <w:szCs w:val="18"/>
          <w:lang w:val="es-ES" w:eastAsia="es-ES"/>
        </w:rPr>
        <w:t>tj</w:t>
      </w:r>
      <w:proofErr w:type="spellEnd"/>
      <w:r w:rsidRPr="00B327EB">
        <w:rPr>
          <w:rFonts w:ascii="Arial" w:eastAsia="Times New Roman" w:hAnsi="Arial" w:cs="Arial"/>
          <w:sz w:val="18"/>
          <w:szCs w:val="18"/>
          <w:lang w:val="es-ES" w:eastAsia="es-ES"/>
        </w:rPr>
        <w:tab/>
        <w:t>tiempo restante hasta el j-</w:t>
      </w:r>
      <w:proofErr w:type="spellStart"/>
      <w:r w:rsidRPr="00B327EB">
        <w:rPr>
          <w:rFonts w:ascii="Arial" w:eastAsia="Times New Roman" w:hAnsi="Arial" w:cs="Arial"/>
          <w:sz w:val="18"/>
          <w:szCs w:val="18"/>
          <w:lang w:val="es-ES" w:eastAsia="es-ES"/>
        </w:rPr>
        <w:t>ésimo</w:t>
      </w:r>
      <w:proofErr w:type="spellEnd"/>
      <w:r w:rsidRPr="00B327EB">
        <w:rPr>
          <w:rFonts w:ascii="Arial" w:eastAsia="Times New Roman" w:hAnsi="Arial" w:cs="Arial"/>
          <w:sz w:val="18"/>
          <w:szCs w:val="18"/>
          <w:lang w:val="es-ES" w:eastAsia="es-ES"/>
        </w:rPr>
        <w:t xml:space="preserve"> flujo medido en número de años (número de días/365).</w:t>
      </w:r>
    </w:p>
    <w:p w14:paraId="5699C5FD"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5B608951" w14:textId="068DD1DB"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r</w:t>
      </w:r>
      <w:r w:rsidRPr="00B327EB">
        <w:rPr>
          <w:rFonts w:ascii="Arial" w:eastAsia="Times New Roman" w:hAnsi="Arial" w:cs="Arial"/>
          <w:sz w:val="18"/>
          <w:szCs w:val="18"/>
          <w:lang w:val="es-ES" w:eastAsia="es-ES"/>
        </w:rPr>
        <w:tab/>
        <w:t xml:space="preserve">Último rendimiento disponible en la fecha de cálculo (tasa efectiva anual). Es </w:t>
      </w:r>
      <w:r w:rsidR="00DC4918" w:rsidRPr="00B327EB">
        <w:rPr>
          <w:rFonts w:ascii="Arial" w:eastAsia="Times New Roman" w:hAnsi="Arial" w:cs="Arial"/>
          <w:sz w:val="18"/>
          <w:szCs w:val="18"/>
          <w:lang w:val="es-ES" w:eastAsia="es-ES"/>
        </w:rPr>
        <w:t>decir,</w:t>
      </w:r>
      <w:r w:rsidRPr="00B327EB">
        <w:rPr>
          <w:rFonts w:ascii="Arial" w:eastAsia="Times New Roman" w:hAnsi="Arial" w:cs="Arial"/>
          <w:sz w:val="18"/>
          <w:szCs w:val="18"/>
          <w:lang w:val="es-ES" w:eastAsia="es-ES"/>
        </w:rPr>
        <w:t xml:space="preserve"> la última tasa de descuento disponible para el título, de acuerdo con la información para valoración suministrada por el proveedor de precios designado como oficial para el segmento correspondiente.</w:t>
      </w:r>
    </w:p>
    <w:p w14:paraId="09B87389"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2180D9A5"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m</w:t>
      </w:r>
      <w:r w:rsidRPr="00B327EB">
        <w:rPr>
          <w:rFonts w:ascii="Arial" w:eastAsia="Times New Roman" w:hAnsi="Arial" w:cs="Arial"/>
          <w:sz w:val="18"/>
          <w:szCs w:val="18"/>
          <w:lang w:val="es-ES" w:eastAsia="es-ES"/>
        </w:rPr>
        <w:tab/>
        <w:t>Número de flujos futuros de efectivo asociados al instrumento.</w:t>
      </w:r>
    </w:p>
    <w:p w14:paraId="4613C38E"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672A5406"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La duración deberá ser menor que la madurez contractual del instrumento, salvo en aquellos casos en que el instrumento tiene un único flujo de efectivo que ocurre en la fecha de vencimiento.</w:t>
      </w:r>
    </w:p>
    <w:p w14:paraId="23820123"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007A6865" w14:textId="0DE97D18" w:rsidR="00C54F6B" w:rsidRDefault="003D3829" w:rsidP="00231709">
      <w:pPr>
        <w:pStyle w:val="Prrafodelista"/>
        <w:numPr>
          <w:ilvl w:val="0"/>
          <w:numId w:val="23"/>
        </w:numPr>
        <w:spacing w:after="0" w:line="240" w:lineRule="auto"/>
        <w:ind w:left="284" w:hanging="284"/>
        <w:jc w:val="both"/>
        <w:rPr>
          <w:rFonts w:ascii="Arial" w:eastAsia="Times New Roman" w:hAnsi="Arial" w:cs="Arial"/>
          <w:sz w:val="18"/>
          <w:szCs w:val="18"/>
          <w:lang w:val="es-ES" w:eastAsia="es-ES"/>
        </w:rPr>
        <w:sectPr w:rsidR="00C54F6B" w:rsidSect="00463553">
          <w:headerReference w:type="default" r:id="rId15"/>
          <w:footerReference w:type="default" r:id="rId16"/>
          <w:pgSz w:w="12240" w:h="18720" w:code="148"/>
          <w:pgMar w:top="1418" w:right="1701" w:bottom="1418" w:left="1701" w:header="1134" w:footer="1134" w:gutter="0"/>
          <w:pgBorders>
            <w:left w:val="single" w:sz="4" w:space="4" w:color="auto"/>
          </w:pgBorders>
          <w:pgNumType w:start="4"/>
          <w:cols w:space="708"/>
          <w:docGrid w:linePitch="360"/>
        </w:sectPr>
      </w:pPr>
      <w:r>
        <w:rPr>
          <w:rFonts w:ascii="Arial" w:eastAsia="Times New Roman" w:hAnsi="Arial" w:cs="Arial"/>
          <w:noProof/>
          <w:sz w:val="18"/>
          <w:szCs w:val="18"/>
          <w:lang w:val="es-ES" w:eastAsia="es-ES"/>
        </w:rPr>
        <mc:AlternateContent>
          <mc:Choice Requires="wps">
            <w:drawing>
              <wp:anchor distT="0" distB="0" distL="114300" distR="114300" simplePos="0" relativeHeight="251662336" behindDoc="0" locked="0" layoutInCell="1" allowOverlap="1" wp14:anchorId="5170ADA0" wp14:editId="53246013">
                <wp:simplePos x="0" y="0"/>
                <wp:positionH relativeFrom="column">
                  <wp:posOffset>24927</wp:posOffset>
                </wp:positionH>
                <wp:positionV relativeFrom="paragraph">
                  <wp:posOffset>228600</wp:posOffset>
                </wp:positionV>
                <wp:extent cx="0" cy="584791"/>
                <wp:effectExtent l="0" t="0" r="38100" b="25400"/>
                <wp:wrapNone/>
                <wp:docPr id="1195524158" name="Conector recto 1"/>
                <wp:cNvGraphicFramePr/>
                <a:graphic xmlns:a="http://schemas.openxmlformats.org/drawingml/2006/main">
                  <a:graphicData uri="http://schemas.microsoft.com/office/word/2010/wordprocessingShape">
                    <wps:wsp>
                      <wps:cNvCnPr/>
                      <wps:spPr>
                        <a:xfrm>
                          <a:off x="0" y="0"/>
                          <a:ext cx="0" cy="58479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du="http://schemas.microsoft.com/office/word/2023/wordml/word16du">
            <w:pict>
              <v:line w14:anchorId="7160626E" id="Conector recto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95pt,18pt" to="1.95pt,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" strokecolor="black [3213]" strokeweight=".5pt">
                <v:stroke joinstyle="miter"/>
              </v:line>
            </w:pict>
          </mc:Fallback>
        </mc:AlternateContent>
      </w:r>
      <w:r w:rsidR="00AB2DEF" w:rsidRPr="00B327EB">
        <w:rPr>
          <w:rFonts w:ascii="Arial" w:eastAsia="Times New Roman" w:hAnsi="Arial" w:cs="Arial"/>
          <w:sz w:val="18"/>
          <w:szCs w:val="18"/>
          <w:lang w:val="es-ES" w:eastAsia="es-ES"/>
        </w:rPr>
        <w:t>Duración de instrumentos pactados a tasa variable con y sin margen.</w:t>
      </w:r>
    </w:p>
    <w:p w14:paraId="5DE65626" w14:textId="17FA4B35" w:rsidR="00AB2DEF" w:rsidRPr="000C0192" w:rsidRDefault="00B66118" w:rsidP="000C0192">
      <w:pPr>
        <w:spacing w:after="0" w:line="240" w:lineRule="auto"/>
        <w:jc w:val="both"/>
        <w:rPr>
          <w:rFonts w:ascii="Arial" w:eastAsia="Times New Roman" w:hAnsi="Arial" w:cs="Arial"/>
          <w:sz w:val="18"/>
          <w:szCs w:val="18"/>
          <w:lang w:val="es-ES" w:eastAsia="es-ES"/>
        </w:rPr>
      </w:pPr>
      <w:r>
        <w:rPr>
          <w:rFonts w:ascii="Arial" w:eastAsia="Times New Roman" w:hAnsi="Arial" w:cs="Arial"/>
          <w:noProof/>
          <w:sz w:val="18"/>
          <w:szCs w:val="18"/>
          <w:lang w:val="es-ES" w:eastAsia="es-ES"/>
        </w:rPr>
        <w:lastRenderedPageBreak/>
        <mc:AlternateContent>
          <mc:Choice Requires="wps">
            <w:drawing>
              <wp:anchor distT="0" distB="0" distL="114300" distR="114300" simplePos="0" relativeHeight="251661312" behindDoc="0" locked="0" layoutInCell="1" allowOverlap="1" wp14:anchorId="2D539ACA" wp14:editId="77C42400">
                <wp:simplePos x="0" y="0"/>
                <wp:positionH relativeFrom="column">
                  <wp:posOffset>34925</wp:posOffset>
                </wp:positionH>
                <wp:positionV relativeFrom="paragraph">
                  <wp:posOffset>-11592</wp:posOffset>
                </wp:positionV>
                <wp:extent cx="0" cy="3420000"/>
                <wp:effectExtent l="0" t="0" r="38100" b="28575"/>
                <wp:wrapNone/>
                <wp:docPr id="2041415512" name="Conector recto 1"/>
                <wp:cNvGraphicFramePr/>
                <a:graphic xmlns:a="http://schemas.openxmlformats.org/drawingml/2006/main">
                  <a:graphicData uri="http://schemas.microsoft.com/office/word/2010/wordprocessingShape">
                    <wps:wsp>
                      <wps:cNvCnPr/>
                      <wps:spPr>
                        <a:xfrm>
                          <a:off x="0" y="0"/>
                          <a:ext cx="0" cy="34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xmlns:w16du="http://schemas.microsoft.com/office/word/2023/wordml/word16du">
            <w:pict>
              <v:line w14:anchorId="27F774F9" id="Conector recto 1" o:spid="_x0000_s1026" style="position:absolute;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5pt,-.9pt" to="2.75pt,26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" strokecolor="black [3213]" strokeweight=".5pt">
                <v:stroke joinstyle="miter"/>
              </v:line>
            </w:pict>
          </mc:Fallback>
        </mc:AlternateContent>
      </w:r>
    </w:p>
    <w:p w14:paraId="53EB6CBC" w14:textId="331DC423"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3F8E5648" w14:textId="57633D69" w:rsidR="00AB2DEF" w:rsidRDefault="00AB2DEF" w:rsidP="00694B7B">
      <w:pPr>
        <w:spacing w:after="0" w:line="240" w:lineRule="auto"/>
        <w:ind w:left="284"/>
        <w:jc w:val="both"/>
        <w:rPr>
          <w:rFonts w:ascii="Arial" w:eastAsia="Times New Roman" w:hAnsi="Arial" w:cs="Arial"/>
          <w:sz w:val="18"/>
          <w:szCs w:val="18"/>
          <w:lang w:val="es-ES" w:eastAsia="es-ES"/>
        </w:rPr>
      </w:pPr>
    </w:p>
    <w:p w14:paraId="038C80C5" w14:textId="7B97C504" w:rsidR="001D3B12" w:rsidRDefault="001D3B12" w:rsidP="00694B7B">
      <w:pPr>
        <w:spacing w:after="0" w:line="240" w:lineRule="auto"/>
        <w:ind w:left="284"/>
        <w:jc w:val="both"/>
        <w:rPr>
          <w:rFonts w:ascii="Arial" w:eastAsia="Times New Roman" w:hAnsi="Arial" w:cs="Arial"/>
          <w:sz w:val="18"/>
          <w:szCs w:val="18"/>
          <w:lang w:val="es-ES" w:eastAsia="es-ES"/>
        </w:rPr>
      </w:pPr>
    </w:p>
    <w:p w14:paraId="408959BB" w14:textId="7BD4A635" w:rsidR="001D3B12" w:rsidRDefault="001D3B12" w:rsidP="00694B7B">
      <w:pPr>
        <w:spacing w:after="0" w:line="240" w:lineRule="auto"/>
        <w:ind w:left="284"/>
        <w:jc w:val="both"/>
        <w:rPr>
          <w:rFonts w:ascii="Arial" w:eastAsia="Times New Roman" w:hAnsi="Arial" w:cs="Arial"/>
          <w:sz w:val="18"/>
          <w:szCs w:val="18"/>
          <w:lang w:val="es-ES" w:eastAsia="es-ES"/>
        </w:rPr>
      </w:pPr>
    </w:p>
    <w:p w14:paraId="02BACC57" w14:textId="325E1A05" w:rsidR="001D3B12" w:rsidRDefault="001D3B12" w:rsidP="00694B7B">
      <w:pPr>
        <w:spacing w:after="0" w:line="240" w:lineRule="auto"/>
        <w:ind w:left="284"/>
        <w:jc w:val="both"/>
        <w:rPr>
          <w:rFonts w:ascii="Arial" w:eastAsia="Times New Roman" w:hAnsi="Arial" w:cs="Arial"/>
          <w:sz w:val="18"/>
          <w:szCs w:val="18"/>
          <w:lang w:val="es-ES" w:eastAsia="es-ES"/>
        </w:rPr>
      </w:pPr>
    </w:p>
    <w:p w14:paraId="0633D284" w14:textId="4F53E2FD" w:rsidR="001D3B12" w:rsidRDefault="001D3B12" w:rsidP="00694B7B">
      <w:pPr>
        <w:spacing w:after="0" w:line="240" w:lineRule="auto"/>
        <w:ind w:left="284"/>
        <w:jc w:val="both"/>
        <w:rPr>
          <w:rFonts w:ascii="Arial" w:eastAsia="Times New Roman" w:hAnsi="Arial" w:cs="Arial"/>
          <w:sz w:val="18"/>
          <w:szCs w:val="18"/>
          <w:lang w:val="es-ES" w:eastAsia="es-ES"/>
        </w:rPr>
      </w:pPr>
    </w:p>
    <w:p w14:paraId="156D4F94"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1BA6FC30"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6B324718"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2775B473"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182E3A35"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66F56065"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61B75C13" w14:textId="77777777" w:rsidR="00570E89" w:rsidRDefault="00570E89" w:rsidP="00694B7B">
      <w:pPr>
        <w:spacing w:after="0" w:line="240" w:lineRule="auto"/>
        <w:ind w:left="284"/>
        <w:jc w:val="both"/>
        <w:rPr>
          <w:rFonts w:ascii="Arial" w:eastAsia="Times New Roman" w:hAnsi="Arial" w:cs="Arial"/>
          <w:sz w:val="18"/>
          <w:szCs w:val="18"/>
          <w:lang w:val="es-ES" w:eastAsia="es-ES"/>
        </w:rPr>
      </w:pPr>
    </w:p>
    <w:p w14:paraId="04C0FBEF" w14:textId="77777777" w:rsidR="00570E89" w:rsidRDefault="00570E89" w:rsidP="00694B7B">
      <w:pPr>
        <w:spacing w:after="0" w:line="240" w:lineRule="auto"/>
        <w:ind w:left="284"/>
        <w:jc w:val="both"/>
        <w:rPr>
          <w:rFonts w:ascii="Arial" w:eastAsia="Times New Roman" w:hAnsi="Arial" w:cs="Arial"/>
          <w:sz w:val="18"/>
          <w:szCs w:val="18"/>
          <w:lang w:val="es-ES" w:eastAsia="es-ES"/>
        </w:rPr>
      </w:pPr>
    </w:p>
    <w:p w14:paraId="2A10180B" w14:textId="77777777" w:rsidR="00570E89" w:rsidRDefault="00570E89" w:rsidP="00694B7B">
      <w:pPr>
        <w:spacing w:after="0" w:line="240" w:lineRule="auto"/>
        <w:ind w:left="284"/>
        <w:jc w:val="both"/>
        <w:rPr>
          <w:rFonts w:ascii="Arial" w:eastAsia="Times New Roman" w:hAnsi="Arial" w:cs="Arial"/>
          <w:sz w:val="18"/>
          <w:szCs w:val="18"/>
          <w:lang w:val="es-ES" w:eastAsia="es-ES"/>
        </w:rPr>
      </w:pPr>
    </w:p>
    <w:p w14:paraId="61EE94BB" w14:textId="77777777" w:rsidR="00570E89" w:rsidRDefault="00570E89" w:rsidP="00694B7B">
      <w:pPr>
        <w:spacing w:after="0" w:line="240" w:lineRule="auto"/>
        <w:ind w:left="284"/>
        <w:jc w:val="both"/>
        <w:rPr>
          <w:rFonts w:ascii="Arial" w:eastAsia="Times New Roman" w:hAnsi="Arial" w:cs="Arial"/>
          <w:sz w:val="18"/>
          <w:szCs w:val="18"/>
          <w:lang w:val="es-ES" w:eastAsia="es-ES"/>
        </w:rPr>
      </w:pPr>
    </w:p>
    <w:p w14:paraId="7E4EED9D" w14:textId="77777777" w:rsidR="00570E89" w:rsidRDefault="00570E89" w:rsidP="00694B7B">
      <w:pPr>
        <w:spacing w:after="0" w:line="240" w:lineRule="auto"/>
        <w:ind w:left="284"/>
        <w:jc w:val="both"/>
        <w:rPr>
          <w:rFonts w:ascii="Arial" w:eastAsia="Times New Roman" w:hAnsi="Arial" w:cs="Arial"/>
          <w:sz w:val="18"/>
          <w:szCs w:val="18"/>
          <w:lang w:val="es-ES" w:eastAsia="es-ES"/>
        </w:rPr>
      </w:pPr>
    </w:p>
    <w:p w14:paraId="286A097E" w14:textId="77777777" w:rsidR="00570E89" w:rsidRPr="00B327EB" w:rsidRDefault="00570E89" w:rsidP="00694B7B">
      <w:pPr>
        <w:spacing w:after="0" w:line="240" w:lineRule="auto"/>
        <w:ind w:left="284"/>
        <w:jc w:val="both"/>
        <w:rPr>
          <w:rFonts w:ascii="Arial" w:eastAsia="Times New Roman" w:hAnsi="Arial" w:cs="Arial"/>
          <w:sz w:val="18"/>
          <w:szCs w:val="18"/>
          <w:lang w:val="es-ES" w:eastAsia="es-ES"/>
        </w:rPr>
      </w:pPr>
    </w:p>
    <w:p w14:paraId="0D69A677"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5DF3BACE"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7491434A"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4615A6E1"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41859DE9"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4DB33096" w14:textId="77777777" w:rsidR="001D3B12" w:rsidRDefault="001D3B12" w:rsidP="00694B7B">
      <w:pPr>
        <w:spacing w:after="0" w:line="240" w:lineRule="auto"/>
        <w:ind w:left="284"/>
        <w:jc w:val="both"/>
        <w:rPr>
          <w:rFonts w:ascii="Arial" w:eastAsia="Times New Roman" w:hAnsi="Arial" w:cs="Arial"/>
          <w:sz w:val="18"/>
          <w:szCs w:val="18"/>
          <w:lang w:val="es-ES" w:eastAsia="es-ES"/>
        </w:rPr>
      </w:pPr>
    </w:p>
    <w:p w14:paraId="5290D602" w14:textId="6A2A4B6C" w:rsidR="00AB2DEF" w:rsidRPr="00B327EB" w:rsidRDefault="001D3B12" w:rsidP="00694B7B">
      <w:pPr>
        <w:spacing w:after="0" w:line="240" w:lineRule="auto"/>
        <w:ind w:left="284"/>
        <w:jc w:val="both"/>
        <w:rPr>
          <w:rFonts w:ascii="Arial" w:eastAsia="Times New Roman" w:hAnsi="Arial" w:cs="Arial"/>
          <w:sz w:val="18"/>
          <w:szCs w:val="18"/>
          <w:lang w:val="es-ES" w:eastAsia="es-ES"/>
        </w:rPr>
      </w:pPr>
      <w:r w:rsidRPr="001D3B12">
        <w:rPr>
          <w:rFonts w:ascii="Arial" w:eastAsia="Times New Roman" w:hAnsi="Arial" w:cs="Arial"/>
          <w:sz w:val="18"/>
          <w:szCs w:val="18"/>
          <w:lang w:val="es-ES" w:eastAsia="es-ES"/>
        </w:rPr>
        <w:t xml:space="preserve">La duración de los títulos “tasa variable” pactados a tasas de referencia </w:t>
      </w:r>
      <w:r w:rsidRPr="001D3B12">
        <w:rPr>
          <w:rFonts w:ascii="Arial" w:eastAsia="Times New Roman" w:hAnsi="Arial" w:cs="Arial"/>
          <w:b/>
          <w:bCs/>
          <w:sz w:val="18"/>
          <w:szCs w:val="18"/>
          <w:lang w:val="es-ES" w:eastAsia="es-ES"/>
        </w:rPr>
        <w:t>local</w:t>
      </w:r>
      <w:r w:rsidR="00833B4E">
        <w:rPr>
          <w:rFonts w:ascii="Arial" w:eastAsia="Times New Roman" w:hAnsi="Arial" w:cs="Arial"/>
          <w:b/>
          <w:bCs/>
          <w:sz w:val="18"/>
          <w:szCs w:val="18"/>
          <w:lang w:val="es-ES" w:eastAsia="es-ES"/>
        </w:rPr>
        <w:t>es</w:t>
      </w:r>
      <w:r w:rsidRPr="001D3B12">
        <w:rPr>
          <w:rFonts w:ascii="Arial" w:eastAsia="Times New Roman" w:hAnsi="Arial" w:cs="Arial"/>
          <w:b/>
          <w:bCs/>
          <w:sz w:val="18"/>
          <w:szCs w:val="18"/>
          <w:lang w:val="es-ES" w:eastAsia="es-ES"/>
        </w:rPr>
        <w:t xml:space="preserve"> o internacional</w:t>
      </w:r>
      <w:r w:rsidR="00833B4E">
        <w:rPr>
          <w:rFonts w:ascii="Arial" w:eastAsia="Times New Roman" w:hAnsi="Arial" w:cs="Arial"/>
          <w:b/>
          <w:bCs/>
          <w:sz w:val="18"/>
          <w:szCs w:val="18"/>
          <w:lang w:val="es-ES" w:eastAsia="es-ES"/>
        </w:rPr>
        <w:t>es</w:t>
      </w:r>
      <w:r w:rsidRPr="001D3B12">
        <w:rPr>
          <w:rFonts w:ascii="Arial" w:eastAsia="Times New Roman" w:hAnsi="Arial" w:cs="Arial"/>
          <w:b/>
          <w:bCs/>
          <w:sz w:val="18"/>
          <w:szCs w:val="18"/>
          <w:lang w:val="es-ES" w:eastAsia="es-ES"/>
        </w:rPr>
        <w:t xml:space="preserve"> </w:t>
      </w:r>
      <w:r w:rsidRPr="001D3B12">
        <w:rPr>
          <w:rFonts w:ascii="Arial" w:eastAsia="Times New Roman" w:hAnsi="Arial" w:cs="Arial"/>
          <w:sz w:val="18"/>
          <w:szCs w:val="18"/>
          <w:lang w:val="es-ES" w:eastAsia="es-ES"/>
        </w:rPr>
        <w:t>corresponderá al periodo de tiempo existente hasta el siguiente reprecio, es decir, hasta el siguiente momento en que se revise la tasa para calcular el pago del cupón. Dicha duración deberá ser calculada en número de años.</w:t>
      </w:r>
    </w:p>
    <w:p w14:paraId="42B75592"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196EDA01" w14:textId="2DC1EE16" w:rsidR="00AB2DEF" w:rsidRPr="00B327EB" w:rsidRDefault="00AB2DEF" w:rsidP="00694B7B">
      <w:pPr>
        <w:pStyle w:val="Prrafodelista"/>
        <w:numPr>
          <w:ilvl w:val="0"/>
          <w:numId w:val="23"/>
        </w:numPr>
        <w:spacing w:after="0" w:line="240" w:lineRule="auto"/>
        <w:ind w:left="284" w:hanging="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Duración de instrumentos pactados en UVR.</w:t>
      </w:r>
    </w:p>
    <w:p w14:paraId="467C6881"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4CAE1295" w14:textId="33B85A9C"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Para calcular la duración de los instrumentos financieros pactados en</w:t>
      </w:r>
      <w:r w:rsidR="0089479E" w:rsidRPr="00B327EB">
        <w:rPr>
          <w:rFonts w:ascii="Arial" w:eastAsia="Times New Roman" w:hAnsi="Arial" w:cs="Arial"/>
          <w:sz w:val="18"/>
          <w:szCs w:val="18"/>
          <w:lang w:val="es-ES" w:eastAsia="es-ES"/>
        </w:rPr>
        <w:t xml:space="preserve"> </w:t>
      </w:r>
      <w:r w:rsidRPr="00B327EB">
        <w:rPr>
          <w:rFonts w:ascii="Arial" w:eastAsia="Times New Roman" w:hAnsi="Arial" w:cs="Arial"/>
          <w:sz w:val="18"/>
          <w:szCs w:val="18"/>
          <w:lang w:val="es-ES" w:eastAsia="es-ES"/>
        </w:rPr>
        <w:t>UVR, los flujos futuros de efectivo deben proyectarse teniendo en cuenta la tasa pactada en UVR. La duración en este caso se calcula siguiendo el procedimiento establecido en el inciso a) del presente numeral.</w:t>
      </w:r>
    </w:p>
    <w:p w14:paraId="1639B4B1"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4D0BBD23"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Cabe aclarar que el cálculo de la duración no se ve afectado por la unidad en que estén denominados los flujos de efectivo al momento de realizarlo.</w:t>
      </w:r>
    </w:p>
    <w:p w14:paraId="22D39B52"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5663CDD7" w14:textId="43D7CD34" w:rsidR="00AB2DEF" w:rsidRPr="00B327EB" w:rsidRDefault="00AB2DEF" w:rsidP="00694B7B">
      <w:pPr>
        <w:pStyle w:val="Prrafodelista"/>
        <w:numPr>
          <w:ilvl w:val="0"/>
          <w:numId w:val="23"/>
        </w:numPr>
        <w:spacing w:after="0" w:line="240" w:lineRule="auto"/>
        <w:ind w:left="284" w:hanging="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Duración de instrumentos pactados en moneda extranjera.</w:t>
      </w:r>
    </w:p>
    <w:p w14:paraId="648B01FA"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4DDCA10C" w14:textId="0F98F26A"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 xml:space="preserve">Para calcular la duración de los instrumentos financieros pactados en moneda extranjera, los flujos futuros de efectivo deben proyectarse teniendo en cuenta la tasa pactada en la moneda original. La duración en este caso se calcula siguiendo el procedimiento establecido en los literales a) y b) del presente </w:t>
      </w:r>
      <w:r w:rsidR="00895316" w:rsidRPr="00B327EB">
        <w:rPr>
          <w:rFonts w:ascii="Arial" w:eastAsia="Times New Roman" w:hAnsi="Arial" w:cs="Arial"/>
          <w:sz w:val="18"/>
          <w:szCs w:val="18"/>
          <w:lang w:val="es-ES" w:eastAsia="es-ES"/>
        </w:rPr>
        <w:t>sub</w:t>
      </w:r>
      <w:r w:rsidRPr="00B327EB">
        <w:rPr>
          <w:rFonts w:ascii="Arial" w:eastAsia="Times New Roman" w:hAnsi="Arial" w:cs="Arial"/>
          <w:sz w:val="18"/>
          <w:szCs w:val="18"/>
          <w:lang w:val="es-ES" w:eastAsia="es-ES"/>
        </w:rPr>
        <w:t>numeral.</w:t>
      </w:r>
    </w:p>
    <w:p w14:paraId="23C8A69C" w14:textId="77777777" w:rsidR="00354640" w:rsidRPr="00B327EB" w:rsidRDefault="00354640" w:rsidP="00694B7B">
      <w:pPr>
        <w:spacing w:after="0" w:line="240" w:lineRule="auto"/>
        <w:ind w:left="284"/>
        <w:jc w:val="both"/>
        <w:rPr>
          <w:rFonts w:ascii="Arial" w:eastAsia="Times New Roman" w:hAnsi="Arial" w:cs="Arial"/>
          <w:sz w:val="18"/>
          <w:szCs w:val="18"/>
          <w:lang w:val="es-ES" w:eastAsia="es-ES"/>
        </w:rPr>
      </w:pPr>
    </w:p>
    <w:p w14:paraId="241B3170" w14:textId="77777777" w:rsidR="00AB2DEF" w:rsidRPr="00B327EB" w:rsidRDefault="00AB2DEF" w:rsidP="00694B7B">
      <w:pPr>
        <w:spacing w:after="0" w:line="240" w:lineRule="auto"/>
        <w:ind w:left="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Cabe aclarar que el cálculo de la duración no se ve afectado por la unidad en que estén denominados los flujos de efectivo al momento de realizarlo.</w:t>
      </w:r>
    </w:p>
    <w:p w14:paraId="6ABC1541"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424454A1" w14:textId="50B35D7A" w:rsidR="00AB2DEF" w:rsidRPr="00B327EB" w:rsidRDefault="00AB2DEF" w:rsidP="00694B7B">
      <w:pPr>
        <w:pStyle w:val="Prrafodelista"/>
        <w:numPr>
          <w:ilvl w:val="0"/>
          <w:numId w:val="23"/>
        </w:numPr>
        <w:spacing w:after="0" w:line="240" w:lineRule="auto"/>
        <w:ind w:left="284" w:hanging="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Duración de instrumentos con opción de prepagos.</w:t>
      </w:r>
    </w:p>
    <w:p w14:paraId="24404568" w14:textId="77777777" w:rsidR="00354640" w:rsidRPr="00B327EB" w:rsidRDefault="00354640" w:rsidP="00694B7B">
      <w:pPr>
        <w:spacing w:after="0" w:line="240" w:lineRule="auto"/>
        <w:ind w:left="284" w:hanging="284"/>
        <w:jc w:val="both"/>
        <w:rPr>
          <w:rFonts w:ascii="Arial" w:eastAsia="Times New Roman" w:hAnsi="Arial" w:cs="Arial"/>
          <w:sz w:val="18"/>
          <w:szCs w:val="18"/>
          <w:lang w:val="es-ES" w:eastAsia="es-ES"/>
        </w:rPr>
      </w:pPr>
    </w:p>
    <w:p w14:paraId="7488E9C7" w14:textId="79FA2453" w:rsidR="00144E92" w:rsidRPr="00B327EB" w:rsidRDefault="00AB2DEF" w:rsidP="00694B7B">
      <w:pPr>
        <w:spacing w:after="0" w:line="240" w:lineRule="auto"/>
        <w:ind w:left="284"/>
        <w:contextualSpacing/>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En el caso de los títulos que incorporen opción de prepagos, su duración se debe calcular de acuerdo con la expresión mencionada en el literal a)</w:t>
      </w:r>
      <w:r w:rsidR="002220F5" w:rsidRPr="00B327EB">
        <w:rPr>
          <w:rFonts w:ascii="Arial" w:eastAsia="Times New Roman" w:hAnsi="Arial" w:cs="Arial"/>
          <w:sz w:val="18"/>
          <w:szCs w:val="18"/>
          <w:lang w:val="es-ES" w:eastAsia="es-ES"/>
        </w:rPr>
        <w:t xml:space="preserve"> del presente subnumeral</w:t>
      </w:r>
      <w:r w:rsidRPr="00B327EB">
        <w:rPr>
          <w:rFonts w:ascii="Arial" w:eastAsia="Times New Roman" w:hAnsi="Arial" w:cs="Arial"/>
          <w:sz w:val="18"/>
          <w:szCs w:val="18"/>
          <w:lang w:val="es-ES" w:eastAsia="es-ES"/>
        </w:rPr>
        <w:t xml:space="preserve">, utilizándose como referencia los escenarios de prepago que se emplean para su valoración a precios de mercado, de acuerdo con lo establecido en el </w:t>
      </w:r>
      <w:r w:rsidR="00CE2260" w:rsidRPr="00B327EB">
        <w:rPr>
          <w:rFonts w:ascii="Arial" w:eastAsia="Times New Roman" w:hAnsi="Arial" w:cs="Arial"/>
          <w:sz w:val="18"/>
          <w:szCs w:val="18"/>
          <w:lang w:val="es-ES" w:eastAsia="es-ES"/>
        </w:rPr>
        <w:t>C</w:t>
      </w:r>
      <w:r w:rsidRPr="00B327EB">
        <w:rPr>
          <w:rFonts w:ascii="Arial" w:eastAsia="Times New Roman" w:hAnsi="Arial" w:cs="Arial"/>
          <w:sz w:val="18"/>
          <w:szCs w:val="18"/>
          <w:lang w:val="es-ES" w:eastAsia="es-ES"/>
        </w:rPr>
        <w:t xml:space="preserve">apítulo I-1 de la </w:t>
      </w:r>
      <w:r w:rsidR="00144E92" w:rsidRPr="00B327EB">
        <w:rPr>
          <w:rFonts w:ascii="Arial" w:eastAsia="Times New Roman" w:hAnsi="Arial" w:cs="Arial"/>
          <w:sz w:val="18"/>
          <w:szCs w:val="18"/>
          <w:lang w:val="es-ES" w:eastAsia="es-ES"/>
        </w:rPr>
        <w:t>CBCF.</w:t>
      </w:r>
    </w:p>
    <w:p w14:paraId="17E14A20" w14:textId="77777777" w:rsidR="00AB2DEF" w:rsidRPr="00B327EB" w:rsidRDefault="00AB2DEF" w:rsidP="00354640">
      <w:pPr>
        <w:spacing w:after="0" w:line="240" w:lineRule="auto"/>
        <w:contextualSpacing/>
        <w:jc w:val="both"/>
        <w:rPr>
          <w:rFonts w:ascii="Arial" w:eastAsia="Times New Roman" w:hAnsi="Arial" w:cs="Arial"/>
          <w:sz w:val="18"/>
          <w:szCs w:val="18"/>
          <w:lang w:val="es-ES" w:eastAsia="es-ES"/>
        </w:rPr>
      </w:pPr>
    </w:p>
    <w:p w14:paraId="38E56872"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2.2.2. Cálculo de los componentes de la exposición a riesgo de tasas de interés.</w:t>
      </w:r>
    </w:p>
    <w:p w14:paraId="43B11C76"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53E4A771" w14:textId="77777777" w:rsidR="00AB2DEF" w:rsidRPr="00B327EB" w:rsidRDefault="00AB2DEF" w:rsidP="00354640">
      <w:pPr>
        <w:spacing w:after="0" w:line="240" w:lineRule="auto"/>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Para calcular la exposición al riesgo de tasa de interés deben seguirse los siguientes pasos:</w:t>
      </w:r>
    </w:p>
    <w:p w14:paraId="49FC2BFC"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5863E9CF" w14:textId="2F1849B4" w:rsidR="00354640" w:rsidRPr="00B327EB" w:rsidRDefault="00AB2DEF" w:rsidP="00631DF7">
      <w:pPr>
        <w:pStyle w:val="Prrafodelista"/>
        <w:numPr>
          <w:ilvl w:val="0"/>
          <w:numId w:val="24"/>
        </w:numPr>
        <w:spacing w:after="0" w:line="240" w:lineRule="auto"/>
        <w:ind w:left="284" w:hanging="284"/>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Cálculo de las sensibilidades</w:t>
      </w:r>
    </w:p>
    <w:p w14:paraId="16E3303A" w14:textId="77777777" w:rsidR="00354640" w:rsidRPr="00B327EB" w:rsidRDefault="00354640" w:rsidP="00354640">
      <w:pPr>
        <w:spacing w:after="0" w:line="240" w:lineRule="auto"/>
        <w:jc w:val="both"/>
        <w:rPr>
          <w:rFonts w:ascii="Arial" w:eastAsia="Times New Roman" w:hAnsi="Arial" w:cs="Arial"/>
          <w:sz w:val="18"/>
          <w:szCs w:val="18"/>
          <w:lang w:val="es-ES" w:eastAsia="es-ES"/>
        </w:rPr>
      </w:pPr>
    </w:p>
    <w:p w14:paraId="2A2924FB" w14:textId="77777777" w:rsidR="00DF2B76" w:rsidRPr="00B327EB" w:rsidRDefault="00AB2DEF" w:rsidP="00BC658B">
      <w:pPr>
        <w:pStyle w:val="Prrafodelista"/>
        <w:numPr>
          <w:ilvl w:val="0"/>
          <w:numId w:val="16"/>
        </w:numPr>
        <w:spacing w:after="0" w:line="240" w:lineRule="auto"/>
        <w:ind w:left="567" w:hanging="283"/>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 xml:space="preserve">La sensibilidad neta de las posiciones en cada instrumento frente a cambios en la tasa de </w:t>
      </w:r>
      <w:proofErr w:type="gramStart"/>
      <w:r w:rsidRPr="00B327EB">
        <w:rPr>
          <w:rFonts w:ascii="Arial" w:eastAsia="Times New Roman" w:hAnsi="Arial" w:cs="Arial"/>
          <w:sz w:val="18"/>
          <w:szCs w:val="18"/>
          <w:lang w:val="es-ES" w:eastAsia="es-ES"/>
        </w:rPr>
        <w:t>interés,</w:t>
      </w:r>
      <w:proofErr w:type="gramEnd"/>
      <w:r w:rsidRPr="00B327EB">
        <w:rPr>
          <w:rFonts w:ascii="Arial" w:eastAsia="Times New Roman" w:hAnsi="Arial" w:cs="Arial"/>
          <w:sz w:val="18"/>
          <w:szCs w:val="18"/>
          <w:lang w:val="es-ES" w:eastAsia="es-ES"/>
        </w:rPr>
        <w:t xml:space="preserve"> debe calcularse multiplicando la posición neta en dicho instrumento por su duración modificada y por el cambio asumido en la tasa de interés para la banda y moneda correspondientes según lo registrado en la Tabla 1.</w:t>
      </w:r>
    </w:p>
    <w:p w14:paraId="077C7D17" w14:textId="77777777" w:rsidR="00DF2B76" w:rsidRPr="00B327EB" w:rsidRDefault="00DF2B76" w:rsidP="00BC658B">
      <w:pPr>
        <w:pStyle w:val="Prrafodelista"/>
        <w:spacing w:after="0" w:line="240" w:lineRule="auto"/>
        <w:ind w:left="567" w:hanging="283"/>
        <w:jc w:val="both"/>
        <w:rPr>
          <w:rFonts w:ascii="Arial" w:eastAsia="Times New Roman" w:hAnsi="Arial" w:cs="Arial"/>
          <w:sz w:val="18"/>
          <w:szCs w:val="18"/>
          <w:lang w:val="es-ES" w:eastAsia="es-ES"/>
        </w:rPr>
      </w:pPr>
    </w:p>
    <w:p w14:paraId="4DD78EE8" w14:textId="3E1560CA" w:rsidR="00DF2B76" w:rsidRPr="00B327EB" w:rsidRDefault="00DF2B76" w:rsidP="00BC658B">
      <w:pPr>
        <w:pStyle w:val="Prrafodelista"/>
        <w:spacing w:after="0" w:line="240" w:lineRule="auto"/>
        <w:ind w:left="567"/>
        <w:jc w:val="both"/>
        <w:rPr>
          <w:rFonts w:ascii="Arial" w:eastAsia="Times New Roman" w:hAnsi="Arial" w:cs="Arial"/>
          <w:sz w:val="18"/>
          <w:szCs w:val="18"/>
          <w:lang w:val="es-ES" w:eastAsia="es-ES"/>
        </w:rPr>
      </w:pPr>
      <w:r w:rsidRPr="00B327EB">
        <w:rPr>
          <w:rFonts w:ascii="Arial" w:eastAsia="Times New Roman" w:hAnsi="Arial" w:cs="Arial"/>
          <w:sz w:val="18"/>
          <w:szCs w:val="18"/>
          <w:lang w:val="es-ES" w:eastAsia="es-ES"/>
        </w:rPr>
        <w:t>Para los títulos “tasa variable” pactados a tasas de referencia nacionales, los cambios en tasa de interés aplicables para la realización del cálculo de esta sensibilidad neta corresponderán al respectivo choque de tasas registrado en la Tabla 1 para la moneda correspondiente.</w:t>
      </w:r>
    </w:p>
    <w:p w14:paraId="619232EB" w14:textId="77777777" w:rsidR="00DF2B76" w:rsidRPr="00B327EB" w:rsidRDefault="00DF2B76" w:rsidP="00BC658B">
      <w:pPr>
        <w:pStyle w:val="Prrafodelista"/>
        <w:spacing w:after="0" w:line="240" w:lineRule="auto"/>
        <w:ind w:left="567" w:hanging="283"/>
        <w:jc w:val="both"/>
        <w:rPr>
          <w:rFonts w:ascii="Arial" w:eastAsia="Times New Roman" w:hAnsi="Arial" w:cs="Arial"/>
          <w:sz w:val="18"/>
          <w:szCs w:val="18"/>
          <w:lang w:val="es-ES" w:eastAsia="es-ES"/>
        </w:rPr>
      </w:pPr>
    </w:p>
    <w:sectPr w:rsidR="00DF2B76" w:rsidRPr="00B327EB" w:rsidSect="001A4C52">
      <w:headerReference w:type="default" r:id="rId17"/>
      <w:pgSz w:w="12240" w:h="18720" w:code="120"/>
      <w:pgMar w:top="1418" w:right="1701" w:bottom="1418" w:left="1701" w:header="1134" w:footer="1134" w:gutter="0"/>
      <w:pgBorders>
        <w:left w:val="single" w:sz="4" w:space="4" w:color="auto"/>
      </w:pgBorders>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4500E" w14:textId="77777777" w:rsidR="00C5018A" w:rsidRDefault="00C5018A" w:rsidP="00AB2DEF">
      <w:pPr>
        <w:spacing w:after="0" w:line="240" w:lineRule="auto"/>
      </w:pPr>
      <w:r>
        <w:separator/>
      </w:r>
    </w:p>
  </w:endnote>
  <w:endnote w:type="continuationSeparator" w:id="0">
    <w:p w14:paraId="394ED186" w14:textId="77777777" w:rsidR="00C5018A" w:rsidRDefault="00C5018A" w:rsidP="00AB2DEF">
      <w:pPr>
        <w:spacing w:after="0" w:line="240" w:lineRule="auto"/>
      </w:pPr>
      <w:r>
        <w:continuationSeparator/>
      </w:r>
    </w:p>
  </w:endnote>
  <w:endnote w:type="continuationNotice" w:id="1">
    <w:p w14:paraId="77BFAD4E" w14:textId="77777777" w:rsidR="00C5018A" w:rsidRDefault="00C501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D5F57" w14:textId="77777777" w:rsidR="00B155B6" w:rsidRDefault="00B155B6" w:rsidP="00CC43A5">
    <w:pPr>
      <w:spacing w:line="240" w:lineRule="auto"/>
      <w:ind w:right="-91"/>
      <w:jc w:val="both"/>
      <w:outlineLvl w:val="0"/>
      <w:rPr>
        <w:rStyle w:val="Nmerodepgina"/>
        <w:rFonts w:ascii="Arial" w:hAnsi="Arial" w:cs="Arial"/>
        <w:b/>
        <w:bCs/>
        <w:sz w:val="18"/>
        <w:szCs w:val="18"/>
      </w:rPr>
    </w:pPr>
  </w:p>
  <w:p w14:paraId="5807D85B" w14:textId="122A868F" w:rsidR="00B155B6" w:rsidRPr="00CC43A5" w:rsidRDefault="00B155B6" w:rsidP="00E12FA3">
    <w:pPr>
      <w:pStyle w:val="Piedepgina"/>
      <w:tabs>
        <w:tab w:val="right" w:pos="8789"/>
      </w:tabs>
      <w:ind w:right="-91"/>
      <w:rPr>
        <w:lang w:val="pt-BR"/>
      </w:rPr>
    </w:pPr>
    <w:r w:rsidRPr="00FC4A84">
      <w:rPr>
        <w:rStyle w:val="Nmerodepgina"/>
        <w:rFonts w:ascii="Arial" w:hAnsi="Arial" w:cs="Arial"/>
        <w:b/>
        <w:bCs/>
        <w:sz w:val="18"/>
        <w:szCs w:val="18"/>
        <w:lang w:val="pt-BR"/>
      </w:rPr>
      <w:t xml:space="preserve">Circular </w:t>
    </w:r>
    <w:proofErr w:type="gramStart"/>
    <w:r w:rsidRPr="00FC4A84">
      <w:rPr>
        <w:rStyle w:val="Nmerodepgina"/>
        <w:rFonts w:ascii="Arial" w:hAnsi="Arial" w:cs="Arial"/>
        <w:b/>
        <w:bCs/>
        <w:sz w:val="18"/>
        <w:szCs w:val="18"/>
        <w:lang w:val="pt-BR"/>
      </w:rPr>
      <w:t xml:space="preserve">Externa </w:t>
    </w:r>
    <w:r>
      <w:rPr>
        <w:rStyle w:val="Nmerodepgina"/>
        <w:rFonts w:ascii="Arial" w:hAnsi="Arial" w:cs="Arial"/>
        <w:b/>
        <w:bCs/>
        <w:sz w:val="18"/>
        <w:szCs w:val="18"/>
        <w:lang w:val="pt-BR"/>
      </w:rPr>
      <w:t xml:space="preserve"> </w:t>
    </w:r>
    <w:r w:rsidR="00AE7BD2">
      <w:rPr>
        <w:rStyle w:val="Nmerodepgina"/>
        <w:rFonts w:ascii="Arial" w:hAnsi="Arial" w:cs="Arial"/>
        <w:b/>
        <w:bCs/>
        <w:sz w:val="18"/>
        <w:szCs w:val="18"/>
        <w:lang w:val="pt-BR"/>
      </w:rPr>
      <w:t>011</w:t>
    </w:r>
    <w:proofErr w:type="gramEnd"/>
    <w:r w:rsidR="00E12FA3">
      <w:rPr>
        <w:rStyle w:val="Nmerodepgina"/>
        <w:rFonts w:ascii="Arial" w:hAnsi="Arial" w:cs="Arial"/>
        <w:b/>
        <w:bCs/>
        <w:sz w:val="18"/>
        <w:szCs w:val="18"/>
        <w:lang w:val="pt-BR"/>
      </w:rPr>
      <w:t xml:space="preserve"> </w:t>
    </w:r>
    <w:r>
      <w:rPr>
        <w:rStyle w:val="Nmerodepgina"/>
        <w:rFonts w:ascii="Arial" w:hAnsi="Arial" w:cs="Arial"/>
        <w:b/>
        <w:bCs/>
        <w:sz w:val="18"/>
        <w:szCs w:val="18"/>
        <w:lang w:val="pt-BR"/>
      </w:rPr>
      <w:t xml:space="preserve"> </w:t>
    </w:r>
    <w:r w:rsidRPr="00FC4A84">
      <w:rPr>
        <w:rStyle w:val="Nmerodepgina"/>
        <w:rFonts w:ascii="Arial" w:hAnsi="Arial" w:cs="Arial"/>
        <w:b/>
        <w:bCs/>
        <w:sz w:val="18"/>
        <w:szCs w:val="18"/>
        <w:lang w:val="pt-BR"/>
      </w:rPr>
      <w:t>de 20</w:t>
    </w:r>
    <w:r>
      <w:rPr>
        <w:rStyle w:val="Nmerodepgina"/>
        <w:rFonts w:ascii="Arial" w:hAnsi="Arial" w:cs="Arial"/>
        <w:b/>
        <w:bCs/>
        <w:sz w:val="18"/>
        <w:szCs w:val="18"/>
        <w:lang w:val="pt-BR"/>
      </w:rPr>
      <w:t>2</w:t>
    </w:r>
    <w:r w:rsidR="00E12FA3">
      <w:rPr>
        <w:rStyle w:val="Nmerodepgina"/>
        <w:rFonts w:ascii="Arial" w:hAnsi="Arial" w:cs="Arial"/>
        <w:b/>
        <w:bCs/>
        <w:sz w:val="18"/>
        <w:szCs w:val="18"/>
        <w:lang w:val="pt-BR"/>
      </w:rPr>
      <w:t>3</w:t>
    </w:r>
    <w:r w:rsidRPr="00FC4A84">
      <w:rPr>
        <w:rStyle w:val="Nmerodepgina"/>
        <w:rFonts w:ascii="Arial" w:hAnsi="Arial" w:cs="Arial"/>
        <w:b/>
        <w:bCs/>
        <w:sz w:val="18"/>
        <w:szCs w:val="18"/>
        <w:lang w:val="pt-BR"/>
      </w:rPr>
      <w:tab/>
    </w:r>
    <w:r w:rsidRPr="00FC4A84">
      <w:rPr>
        <w:rStyle w:val="Nmerodepgina"/>
        <w:rFonts w:ascii="Arial" w:hAnsi="Arial" w:cs="Arial"/>
        <w:b/>
        <w:sz w:val="18"/>
        <w:szCs w:val="18"/>
        <w:lang w:val="pt-BR"/>
      </w:rPr>
      <w:t xml:space="preserve"> </w:t>
    </w:r>
    <w:r>
      <w:rPr>
        <w:rStyle w:val="Nmerodepgina"/>
        <w:rFonts w:ascii="Arial" w:hAnsi="Arial" w:cs="Arial"/>
        <w:b/>
        <w:bCs/>
        <w:sz w:val="18"/>
        <w:szCs w:val="18"/>
        <w:lang w:val="pt-BR"/>
      </w:rPr>
      <w:tab/>
    </w:r>
    <w:r w:rsidR="001A4C52">
      <w:rPr>
        <w:rStyle w:val="Nmerodepgina"/>
        <w:rFonts w:ascii="Arial" w:hAnsi="Arial" w:cs="Arial"/>
        <w:b/>
        <w:bCs/>
        <w:sz w:val="18"/>
        <w:szCs w:val="18"/>
        <w:lang w:val="pt-BR"/>
      </w:rPr>
      <w:t xml:space="preserve">   </w:t>
    </w:r>
    <w:r w:rsidR="00E12FA3">
      <w:rPr>
        <w:rStyle w:val="Nmerodepgina"/>
        <w:rFonts w:ascii="Arial" w:hAnsi="Arial" w:cs="Arial"/>
        <w:b/>
        <w:bCs/>
        <w:sz w:val="18"/>
        <w:szCs w:val="18"/>
        <w:lang w:val="pt-BR"/>
      </w:rPr>
      <w:t xml:space="preserve"> </w:t>
    </w:r>
    <w:r>
      <w:rPr>
        <w:rStyle w:val="Nmerodepgina"/>
        <w:rFonts w:ascii="Arial" w:hAnsi="Arial" w:cs="Arial"/>
        <w:b/>
        <w:bCs/>
        <w:sz w:val="18"/>
        <w:szCs w:val="18"/>
        <w:lang w:val="pt-BR"/>
      </w:rPr>
      <w:t xml:space="preserve">   </w:t>
    </w:r>
    <w:r w:rsidR="001A4C52">
      <w:rPr>
        <w:rStyle w:val="Nmerodepgina"/>
        <w:rFonts w:ascii="Arial" w:hAnsi="Arial" w:cs="Arial"/>
        <w:b/>
        <w:bCs/>
        <w:sz w:val="18"/>
        <w:szCs w:val="18"/>
        <w:lang w:val="pt-BR"/>
      </w:rPr>
      <w:t xml:space="preserve">   </w:t>
    </w:r>
    <w:r w:rsidR="00E12FA3">
      <w:rPr>
        <w:rStyle w:val="Nmerodepgina"/>
        <w:rFonts w:ascii="Arial" w:hAnsi="Arial" w:cs="Arial"/>
        <w:b/>
        <w:bCs/>
        <w:sz w:val="18"/>
        <w:szCs w:val="18"/>
        <w:lang w:val="pt-BR"/>
      </w:rPr>
      <w:t xml:space="preserve"> </w:t>
    </w:r>
    <w:r>
      <w:rPr>
        <w:rStyle w:val="Nmerodepgina"/>
        <w:rFonts w:ascii="Arial" w:hAnsi="Arial" w:cs="Arial"/>
        <w:b/>
        <w:bCs/>
        <w:sz w:val="18"/>
        <w:szCs w:val="18"/>
        <w:lang w:val="pt-BR"/>
      </w:rPr>
      <w:t xml:space="preserve">        </w:t>
    </w:r>
    <w:proofErr w:type="spellStart"/>
    <w:r w:rsidR="004E7D43">
      <w:rPr>
        <w:rStyle w:val="Nmerodepgina"/>
        <w:rFonts w:ascii="Arial" w:hAnsi="Arial" w:cs="Arial"/>
        <w:b/>
        <w:bCs/>
        <w:sz w:val="18"/>
        <w:szCs w:val="18"/>
        <w:lang w:val="pt-BR"/>
      </w:rPr>
      <w:t>Junio</w:t>
    </w:r>
    <w:proofErr w:type="spellEnd"/>
    <w:r w:rsidR="00E12FA3">
      <w:rPr>
        <w:rStyle w:val="Nmerodepgina"/>
        <w:rFonts w:ascii="Arial" w:hAnsi="Arial" w:cs="Arial"/>
        <w:b/>
        <w:bCs/>
        <w:sz w:val="18"/>
        <w:szCs w:val="18"/>
        <w:lang w:val="pt-BR"/>
      </w:rPr>
      <w:t xml:space="preserve"> de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E6550" w14:textId="77777777" w:rsidR="00C5018A" w:rsidRDefault="00C5018A" w:rsidP="00AB2DEF">
      <w:pPr>
        <w:spacing w:after="0" w:line="240" w:lineRule="auto"/>
      </w:pPr>
      <w:r>
        <w:separator/>
      </w:r>
    </w:p>
  </w:footnote>
  <w:footnote w:type="continuationSeparator" w:id="0">
    <w:p w14:paraId="36488F5E" w14:textId="77777777" w:rsidR="00C5018A" w:rsidRDefault="00C5018A" w:rsidP="00AB2DEF">
      <w:pPr>
        <w:spacing w:after="0" w:line="240" w:lineRule="auto"/>
      </w:pPr>
      <w:r>
        <w:continuationSeparator/>
      </w:r>
    </w:p>
  </w:footnote>
  <w:footnote w:type="continuationNotice" w:id="1">
    <w:p w14:paraId="523515C9" w14:textId="77777777" w:rsidR="00C5018A" w:rsidRDefault="00C501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C4077" w14:textId="77777777" w:rsidR="00B155B6" w:rsidRDefault="00B155B6" w:rsidP="002824B6">
    <w:pPr>
      <w:pStyle w:val="Ttulo"/>
      <w:rPr>
        <w:rFonts w:cs="Arial"/>
        <w:b w:val="0"/>
        <w:sz w:val="24"/>
        <w:szCs w:val="24"/>
      </w:rPr>
    </w:pPr>
    <w:r w:rsidRPr="000A50F3">
      <w:rPr>
        <w:rFonts w:cs="Arial"/>
        <w:sz w:val="24"/>
        <w:szCs w:val="24"/>
      </w:rPr>
      <w:t>SUPERINTENDENCIA FINANCIERA DE COLOMBIA</w:t>
    </w:r>
  </w:p>
  <w:p w14:paraId="64E1FCEE" w14:textId="77777777" w:rsidR="00B155B6" w:rsidRDefault="00B155B6" w:rsidP="002824B6">
    <w:pPr>
      <w:pStyle w:val="Encabezado"/>
      <w:ind w:right="-21"/>
      <w:rPr>
        <w:rFonts w:ascii="Arial" w:hAnsi="Arial"/>
        <w:b/>
        <w:sz w:val="18"/>
      </w:rPr>
    </w:pPr>
  </w:p>
  <w:p w14:paraId="4CB11F49" w14:textId="77777777" w:rsidR="00B155B6" w:rsidRDefault="00B155B6" w:rsidP="002824B6">
    <w:pPr>
      <w:pStyle w:val="Encabezado"/>
      <w:ind w:right="-21"/>
      <w:rPr>
        <w:rFonts w:ascii="Arial" w:hAnsi="Arial"/>
        <w:b/>
        <w:sz w:val="18"/>
      </w:rPr>
    </w:pPr>
    <w:r>
      <w:rPr>
        <w:rFonts w:ascii="Arial" w:hAnsi="Arial"/>
        <w:b/>
        <w:sz w:val="18"/>
      </w:rPr>
      <w:t>CAPÍTULO XXXI SISTEMA INTEGRAL DE ADMINISTRACIÓN DE RIESGOS (SIAR)</w:t>
    </w:r>
  </w:p>
  <w:p w14:paraId="420A11C8" w14:textId="4E69B75C" w:rsidR="00B155B6" w:rsidRDefault="00B155B6" w:rsidP="002824B6">
    <w:pPr>
      <w:pStyle w:val="Encabezado"/>
      <w:rPr>
        <w:rFonts w:ascii="Arial (W1)" w:hAnsi="Arial (W1)"/>
        <w:b/>
        <w:sz w:val="18"/>
        <w:szCs w:val="18"/>
      </w:rPr>
    </w:pPr>
    <w:r w:rsidRPr="001A3E3E">
      <w:rPr>
        <w:rFonts w:ascii="Arial (W1)" w:hAnsi="Arial (W1)"/>
        <w:b/>
        <w:sz w:val="18"/>
        <w:szCs w:val="18"/>
      </w:rPr>
      <w:t>Página</w:t>
    </w:r>
    <w:r>
      <w:rPr>
        <w:rFonts w:ascii="Arial (W1)" w:hAnsi="Arial (W1)"/>
        <w:b/>
        <w:sz w:val="18"/>
        <w:szCs w:val="18"/>
      </w:rPr>
      <w:t xml:space="preserve"> </w:t>
    </w:r>
    <w:r w:rsidR="00FF783B">
      <w:rPr>
        <w:rFonts w:ascii="Arial (W1)" w:hAnsi="Arial (W1)"/>
        <w:b/>
        <w:sz w:val="18"/>
        <w:szCs w:val="18"/>
      </w:rPr>
      <w:t>5</w:t>
    </w:r>
  </w:p>
  <w:p w14:paraId="1758EC77" w14:textId="77777777" w:rsidR="00B155B6" w:rsidRDefault="00B155B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383C" w14:textId="77777777" w:rsidR="008C56E2" w:rsidRDefault="008C56E2" w:rsidP="002824B6">
    <w:pPr>
      <w:pStyle w:val="Ttulo"/>
      <w:rPr>
        <w:rFonts w:cs="Arial"/>
        <w:b w:val="0"/>
        <w:sz w:val="24"/>
        <w:szCs w:val="24"/>
      </w:rPr>
    </w:pPr>
    <w:r w:rsidRPr="000A50F3">
      <w:rPr>
        <w:rFonts w:cs="Arial"/>
        <w:sz w:val="24"/>
        <w:szCs w:val="24"/>
      </w:rPr>
      <w:t>SUPERINTENDENCIA FINANCIERA DE COLOMBIA</w:t>
    </w:r>
  </w:p>
  <w:p w14:paraId="06412D8B" w14:textId="77777777" w:rsidR="008C56E2" w:rsidRDefault="008C56E2" w:rsidP="002824B6">
    <w:pPr>
      <w:pStyle w:val="Encabezado"/>
      <w:ind w:right="-21"/>
      <w:rPr>
        <w:rFonts w:ascii="Arial" w:hAnsi="Arial"/>
        <w:b/>
        <w:sz w:val="18"/>
      </w:rPr>
    </w:pPr>
  </w:p>
  <w:p w14:paraId="0D7CD583" w14:textId="77777777" w:rsidR="008C56E2" w:rsidRDefault="008C56E2" w:rsidP="002824B6">
    <w:pPr>
      <w:pStyle w:val="Encabezado"/>
      <w:ind w:right="-21"/>
      <w:rPr>
        <w:rFonts w:ascii="Arial" w:hAnsi="Arial"/>
        <w:b/>
        <w:sz w:val="18"/>
      </w:rPr>
    </w:pPr>
    <w:r>
      <w:rPr>
        <w:rFonts w:ascii="Arial" w:hAnsi="Arial"/>
        <w:b/>
        <w:sz w:val="18"/>
      </w:rPr>
      <w:t>CAPÍTULO XXXI SISTEMA INTEGRAL DE ADMINISTRACIÓN DE RIESGOS (SIAR)</w:t>
    </w:r>
  </w:p>
  <w:p w14:paraId="0917B5EB" w14:textId="086E7E53" w:rsidR="008C56E2" w:rsidRDefault="008C56E2" w:rsidP="002824B6">
    <w:pPr>
      <w:pStyle w:val="Encabezado"/>
      <w:rPr>
        <w:rFonts w:ascii="Arial (W1)" w:hAnsi="Arial (W1)"/>
        <w:b/>
        <w:sz w:val="18"/>
        <w:szCs w:val="18"/>
      </w:rPr>
    </w:pPr>
    <w:r w:rsidRPr="001A3E3E">
      <w:rPr>
        <w:rFonts w:ascii="Arial (W1)" w:hAnsi="Arial (W1)"/>
        <w:b/>
        <w:sz w:val="18"/>
        <w:szCs w:val="18"/>
      </w:rPr>
      <w:t>Página</w:t>
    </w:r>
    <w:r>
      <w:rPr>
        <w:rFonts w:ascii="Arial (W1)" w:hAnsi="Arial (W1)"/>
        <w:b/>
        <w:sz w:val="18"/>
        <w:szCs w:val="18"/>
      </w:rPr>
      <w:t xml:space="preserve"> 6</w:t>
    </w:r>
  </w:p>
  <w:p w14:paraId="6DAABC1B" w14:textId="77777777" w:rsidR="008C56E2" w:rsidRDefault="008C56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46CBD"/>
    <w:multiLevelType w:val="hybridMultilevel"/>
    <w:tmpl w:val="0B3C4EF8"/>
    <w:lvl w:ilvl="0" w:tplc="A6FE0BA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BA02569"/>
    <w:multiLevelType w:val="hybridMultilevel"/>
    <w:tmpl w:val="0C985F20"/>
    <w:lvl w:ilvl="0" w:tplc="2C44A9D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AA19E2"/>
    <w:multiLevelType w:val="hybridMultilevel"/>
    <w:tmpl w:val="2DFCA246"/>
    <w:lvl w:ilvl="0" w:tplc="B90EDD40">
      <w:start w:val="1"/>
      <w:numFmt w:val="lowerRoman"/>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F542C41"/>
    <w:multiLevelType w:val="hybridMultilevel"/>
    <w:tmpl w:val="D9A2A7A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0942379"/>
    <w:multiLevelType w:val="hybridMultilevel"/>
    <w:tmpl w:val="956E2BC0"/>
    <w:lvl w:ilvl="0" w:tplc="076633A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38B690D"/>
    <w:multiLevelType w:val="hybridMultilevel"/>
    <w:tmpl w:val="F7EA8528"/>
    <w:lvl w:ilvl="0" w:tplc="546E687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44B45AD"/>
    <w:multiLevelType w:val="hybridMultilevel"/>
    <w:tmpl w:val="3BCEAEB4"/>
    <w:lvl w:ilvl="0" w:tplc="BF7806CA">
      <w:start w:val="4"/>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B287893"/>
    <w:multiLevelType w:val="hybridMultilevel"/>
    <w:tmpl w:val="98626A2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D27A8F"/>
    <w:multiLevelType w:val="hybridMultilevel"/>
    <w:tmpl w:val="C9C05A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42C629E"/>
    <w:multiLevelType w:val="hybridMultilevel"/>
    <w:tmpl w:val="0C985F20"/>
    <w:lvl w:ilvl="0" w:tplc="2C44A9DC">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25642EBD"/>
    <w:multiLevelType w:val="hybridMultilevel"/>
    <w:tmpl w:val="9C142DDE"/>
    <w:lvl w:ilvl="0" w:tplc="F23ED42E">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D9207F9"/>
    <w:multiLevelType w:val="hybridMultilevel"/>
    <w:tmpl w:val="287EAFF8"/>
    <w:lvl w:ilvl="0" w:tplc="240A001B">
      <w:start w:val="1"/>
      <w:numFmt w:val="low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7E90769"/>
    <w:multiLevelType w:val="hybridMultilevel"/>
    <w:tmpl w:val="AF2A672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B391FA8"/>
    <w:multiLevelType w:val="hybridMultilevel"/>
    <w:tmpl w:val="C46AAAD2"/>
    <w:lvl w:ilvl="0" w:tplc="546E687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C466F9F"/>
    <w:multiLevelType w:val="hybridMultilevel"/>
    <w:tmpl w:val="6A6C49B6"/>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7B1C2F"/>
    <w:multiLevelType w:val="hybridMultilevel"/>
    <w:tmpl w:val="388819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71D31E8"/>
    <w:multiLevelType w:val="hybridMultilevel"/>
    <w:tmpl w:val="F67A3D3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820060F"/>
    <w:multiLevelType w:val="hybridMultilevel"/>
    <w:tmpl w:val="413E3F14"/>
    <w:lvl w:ilvl="0" w:tplc="546E687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9846D5A"/>
    <w:multiLevelType w:val="hybridMultilevel"/>
    <w:tmpl w:val="2F54373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9A30369"/>
    <w:multiLevelType w:val="hybridMultilevel"/>
    <w:tmpl w:val="031C9DC4"/>
    <w:lvl w:ilvl="0" w:tplc="240A001B">
      <w:start w:val="1"/>
      <w:numFmt w:val="lowerRoman"/>
      <w:lvlText w:val="%1."/>
      <w:lvlJc w:val="right"/>
      <w:pPr>
        <w:ind w:left="540" w:hanging="360"/>
      </w:pPr>
    </w:lvl>
    <w:lvl w:ilvl="1" w:tplc="240A0019" w:tentative="1">
      <w:start w:val="1"/>
      <w:numFmt w:val="lowerLetter"/>
      <w:lvlText w:val="%2."/>
      <w:lvlJc w:val="left"/>
      <w:pPr>
        <w:ind w:left="1260" w:hanging="360"/>
      </w:pPr>
    </w:lvl>
    <w:lvl w:ilvl="2" w:tplc="240A001B" w:tentative="1">
      <w:start w:val="1"/>
      <w:numFmt w:val="lowerRoman"/>
      <w:lvlText w:val="%3."/>
      <w:lvlJc w:val="right"/>
      <w:pPr>
        <w:ind w:left="1980" w:hanging="180"/>
      </w:pPr>
    </w:lvl>
    <w:lvl w:ilvl="3" w:tplc="240A000F" w:tentative="1">
      <w:start w:val="1"/>
      <w:numFmt w:val="decimal"/>
      <w:lvlText w:val="%4."/>
      <w:lvlJc w:val="left"/>
      <w:pPr>
        <w:ind w:left="2700" w:hanging="360"/>
      </w:pPr>
    </w:lvl>
    <w:lvl w:ilvl="4" w:tplc="240A0019" w:tentative="1">
      <w:start w:val="1"/>
      <w:numFmt w:val="lowerLetter"/>
      <w:lvlText w:val="%5."/>
      <w:lvlJc w:val="left"/>
      <w:pPr>
        <w:ind w:left="3420" w:hanging="360"/>
      </w:pPr>
    </w:lvl>
    <w:lvl w:ilvl="5" w:tplc="240A001B" w:tentative="1">
      <w:start w:val="1"/>
      <w:numFmt w:val="lowerRoman"/>
      <w:lvlText w:val="%6."/>
      <w:lvlJc w:val="right"/>
      <w:pPr>
        <w:ind w:left="4140" w:hanging="180"/>
      </w:pPr>
    </w:lvl>
    <w:lvl w:ilvl="6" w:tplc="240A000F" w:tentative="1">
      <w:start w:val="1"/>
      <w:numFmt w:val="decimal"/>
      <w:lvlText w:val="%7."/>
      <w:lvlJc w:val="left"/>
      <w:pPr>
        <w:ind w:left="4860" w:hanging="360"/>
      </w:pPr>
    </w:lvl>
    <w:lvl w:ilvl="7" w:tplc="240A0019" w:tentative="1">
      <w:start w:val="1"/>
      <w:numFmt w:val="lowerLetter"/>
      <w:lvlText w:val="%8."/>
      <w:lvlJc w:val="left"/>
      <w:pPr>
        <w:ind w:left="5580" w:hanging="360"/>
      </w:pPr>
    </w:lvl>
    <w:lvl w:ilvl="8" w:tplc="240A001B" w:tentative="1">
      <w:start w:val="1"/>
      <w:numFmt w:val="lowerRoman"/>
      <w:lvlText w:val="%9."/>
      <w:lvlJc w:val="right"/>
      <w:pPr>
        <w:ind w:left="6300" w:hanging="180"/>
      </w:pPr>
    </w:lvl>
  </w:abstractNum>
  <w:abstractNum w:abstractNumId="20" w15:restartNumberingAfterBreak="0">
    <w:nsid w:val="67810D7C"/>
    <w:multiLevelType w:val="multilevel"/>
    <w:tmpl w:val="1EC006B2"/>
    <w:lvl w:ilvl="0">
      <w:start w:val="1"/>
      <w:numFmt w:val="decimal"/>
      <w:lvlText w:val="%1."/>
      <w:lvlJc w:val="left"/>
      <w:pPr>
        <w:ind w:left="720" w:hanging="360"/>
      </w:pPr>
      <w:rPr>
        <w:rFonts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BA727F0"/>
    <w:multiLevelType w:val="hybridMultilevel"/>
    <w:tmpl w:val="861C861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13E1FC6"/>
    <w:multiLevelType w:val="hybridMultilevel"/>
    <w:tmpl w:val="43CA1D40"/>
    <w:lvl w:ilvl="0" w:tplc="E9448D9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165EC0"/>
    <w:multiLevelType w:val="hybridMultilevel"/>
    <w:tmpl w:val="D5F4807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4C0477C"/>
    <w:multiLevelType w:val="hybridMultilevel"/>
    <w:tmpl w:val="5EBEFC74"/>
    <w:lvl w:ilvl="0" w:tplc="B90EDD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6172620"/>
    <w:multiLevelType w:val="multilevel"/>
    <w:tmpl w:val="40D8194E"/>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68E7ABA"/>
    <w:multiLevelType w:val="hybridMultilevel"/>
    <w:tmpl w:val="18CCCD5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6E44903"/>
    <w:multiLevelType w:val="hybridMultilevel"/>
    <w:tmpl w:val="CECA950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7E2674C"/>
    <w:multiLevelType w:val="hybridMultilevel"/>
    <w:tmpl w:val="796E07D4"/>
    <w:lvl w:ilvl="0" w:tplc="745EC6D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C8B37A0"/>
    <w:multiLevelType w:val="hybridMultilevel"/>
    <w:tmpl w:val="6BEA473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E375A14"/>
    <w:multiLevelType w:val="hybridMultilevel"/>
    <w:tmpl w:val="BB6EDAB4"/>
    <w:lvl w:ilvl="0" w:tplc="546E6870">
      <w:start w:val="1"/>
      <w:numFmt w:val="lowerRoman"/>
      <w:lvlText w:val="%1."/>
      <w:lvlJc w:val="left"/>
      <w:pPr>
        <w:ind w:left="720" w:hanging="72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1" w15:restartNumberingAfterBreak="0">
    <w:nsid w:val="7F0D7016"/>
    <w:multiLevelType w:val="hybridMultilevel"/>
    <w:tmpl w:val="BB6EDAB4"/>
    <w:lvl w:ilvl="0" w:tplc="546E687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F2F0E1A"/>
    <w:multiLevelType w:val="hybridMultilevel"/>
    <w:tmpl w:val="5E626224"/>
    <w:lvl w:ilvl="0" w:tplc="0C0A001B">
      <w:start w:val="1"/>
      <w:numFmt w:val="lowerRoman"/>
      <w:lvlText w:val="%1."/>
      <w:lvlJc w:val="right"/>
      <w:pPr>
        <w:ind w:left="1080" w:hanging="72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70833261">
    <w:abstractNumId w:val="20"/>
  </w:num>
  <w:num w:numId="2" w16cid:durableId="1376005556">
    <w:abstractNumId w:val="14"/>
  </w:num>
  <w:num w:numId="3" w16cid:durableId="48190908">
    <w:abstractNumId w:val="24"/>
  </w:num>
  <w:num w:numId="4" w16cid:durableId="1513572716">
    <w:abstractNumId w:val="22"/>
  </w:num>
  <w:num w:numId="5" w16cid:durableId="115949271">
    <w:abstractNumId w:val="32"/>
  </w:num>
  <w:num w:numId="6" w16cid:durableId="271013578">
    <w:abstractNumId w:val="31"/>
  </w:num>
  <w:num w:numId="7" w16cid:durableId="514274083">
    <w:abstractNumId w:val="5"/>
  </w:num>
  <w:num w:numId="8" w16cid:durableId="1520004088">
    <w:abstractNumId w:val="17"/>
  </w:num>
  <w:num w:numId="9" w16cid:durableId="989480110">
    <w:abstractNumId w:val="26"/>
  </w:num>
  <w:num w:numId="10" w16cid:durableId="417866483">
    <w:abstractNumId w:val="13"/>
  </w:num>
  <w:num w:numId="11" w16cid:durableId="1596356765">
    <w:abstractNumId w:val="7"/>
  </w:num>
  <w:num w:numId="12" w16cid:durableId="1958486757">
    <w:abstractNumId w:val="27"/>
  </w:num>
  <w:num w:numId="13" w16cid:durableId="1503930131">
    <w:abstractNumId w:val="6"/>
  </w:num>
  <w:num w:numId="14" w16cid:durableId="731080977">
    <w:abstractNumId w:val="11"/>
  </w:num>
  <w:num w:numId="15" w16cid:durableId="1553080024">
    <w:abstractNumId w:val="28"/>
  </w:num>
  <w:num w:numId="16" w16cid:durableId="1959145231">
    <w:abstractNumId w:val="1"/>
  </w:num>
  <w:num w:numId="17" w16cid:durableId="1578131111">
    <w:abstractNumId w:val="10"/>
  </w:num>
  <w:num w:numId="18" w16cid:durableId="1859854998">
    <w:abstractNumId w:val="4"/>
  </w:num>
  <w:num w:numId="19" w16cid:durableId="404764269">
    <w:abstractNumId w:val="0"/>
  </w:num>
  <w:num w:numId="20" w16cid:durableId="1460604972">
    <w:abstractNumId w:val="30"/>
  </w:num>
  <w:num w:numId="21" w16cid:durableId="1568343855">
    <w:abstractNumId w:val="9"/>
  </w:num>
  <w:num w:numId="22" w16cid:durableId="66079076">
    <w:abstractNumId w:val="12"/>
  </w:num>
  <w:num w:numId="23" w16cid:durableId="1644851476">
    <w:abstractNumId w:val="3"/>
  </w:num>
  <w:num w:numId="24" w16cid:durableId="1851096953">
    <w:abstractNumId w:val="29"/>
  </w:num>
  <w:num w:numId="25" w16cid:durableId="2139297558">
    <w:abstractNumId w:val="8"/>
  </w:num>
  <w:num w:numId="26" w16cid:durableId="1873303045">
    <w:abstractNumId w:val="21"/>
  </w:num>
  <w:num w:numId="27" w16cid:durableId="1074158673">
    <w:abstractNumId w:val="15"/>
  </w:num>
  <w:num w:numId="28" w16cid:durableId="587739108">
    <w:abstractNumId w:val="18"/>
  </w:num>
  <w:num w:numId="29" w16cid:durableId="1846553007">
    <w:abstractNumId w:val="19"/>
  </w:num>
  <w:num w:numId="30" w16cid:durableId="1552645069">
    <w:abstractNumId w:val="23"/>
  </w:num>
  <w:num w:numId="31" w16cid:durableId="413204860">
    <w:abstractNumId w:val="16"/>
  </w:num>
  <w:num w:numId="32" w16cid:durableId="1958830370">
    <w:abstractNumId w:val="2"/>
  </w:num>
  <w:num w:numId="33" w16cid:durableId="156074839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pt-BR" w:vendorID="64" w:dllVersion="0" w:nlCheck="1" w:checkStyle="0"/>
  <w:activeWritingStyle w:appName="MSWord" w:lang="es-CO"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pt-BR" w:vendorID="64" w:dllVersion="4096"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DEF"/>
    <w:rsid w:val="00007C2B"/>
    <w:rsid w:val="00024B3C"/>
    <w:rsid w:val="00045CCC"/>
    <w:rsid w:val="00054438"/>
    <w:rsid w:val="00067851"/>
    <w:rsid w:val="00082BCB"/>
    <w:rsid w:val="000B6E59"/>
    <w:rsid w:val="000C0192"/>
    <w:rsid w:val="000D3347"/>
    <w:rsid w:val="001217B3"/>
    <w:rsid w:val="0013150F"/>
    <w:rsid w:val="00133352"/>
    <w:rsid w:val="00144E92"/>
    <w:rsid w:val="001661A8"/>
    <w:rsid w:val="001776AC"/>
    <w:rsid w:val="00181F07"/>
    <w:rsid w:val="00185E0A"/>
    <w:rsid w:val="00194087"/>
    <w:rsid w:val="001A2602"/>
    <w:rsid w:val="001A48A9"/>
    <w:rsid w:val="001A4C52"/>
    <w:rsid w:val="001C65F4"/>
    <w:rsid w:val="001C7EC2"/>
    <w:rsid w:val="001D1231"/>
    <w:rsid w:val="001D3B12"/>
    <w:rsid w:val="001D6435"/>
    <w:rsid w:val="001D743D"/>
    <w:rsid w:val="001D78FD"/>
    <w:rsid w:val="001F23B7"/>
    <w:rsid w:val="00202E71"/>
    <w:rsid w:val="00203BEE"/>
    <w:rsid w:val="00207FD3"/>
    <w:rsid w:val="002220F5"/>
    <w:rsid w:val="002251E5"/>
    <w:rsid w:val="00231709"/>
    <w:rsid w:val="0025021A"/>
    <w:rsid w:val="00255002"/>
    <w:rsid w:val="00261664"/>
    <w:rsid w:val="002622D3"/>
    <w:rsid w:val="00275356"/>
    <w:rsid w:val="002753DD"/>
    <w:rsid w:val="002824B6"/>
    <w:rsid w:val="00292E98"/>
    <w:rsid w:val="0029574E"/>
    <w:rsid w:val="002A42EA"/>
    <w:rsid w:val="002C27B2"/>
    <w:rsid w:val="002D7A53"/>
    <w:rsid w:val="002E4782"/>
    <w:rsid w:val="002E7AF1"/>
    <w:rsid w:val="003045F7"/>
    <w:rsid w:val="003130D8"/>
    <w:rsid w:val="00321643"/>
    <w:rsid w:val="00330A40"/>
    <w:rsid w:val="003318B3"/>
    <w:rsid w:val="0035183A"/>
    <w:rsid w:val="00354640"/>
    <w:rsid w:val="0035528C"/>
    <w:rsid w:val="003658CB"/>
    <w:rsid w:val="00366553"/>
    <w:rsid w:val="003806E8"/>
    <w:rsid w:val="00385513"/>
    <w:rsid w:val="00396A7C"/>
    <w:rsid w:val="0039729E"/>
    <w:rsid w:val="003A51B5"/>
    <w:rsid w:val="003B479F"/>
    <w:rsid w:val="003B73C0"/>
    <w:rsid w:val="003D3829"/>
    <w:rsid w:val="003E2CAB"/>
    <w:rsid w:val="003E7656"/>
    <w:rsid w:val="003F7639"/>
    <w:rsid w:val="0040022A"/>
    <w:rsid w:val="00421395"/>
    <w:rsid w:val="004326C5"/>
    <w:rsid w:val="00463553"/>
    <w:rsid w:val="0047212C"/>
    <w:rsid w:val="00486770"/>
    <w:rsid w:val="004B55FF"/>
    <w:rsid w:val="004C7F9E"/>
    <w:rsid w:val="004D14B8"/>
    <w:rsid w:val="004D19AB"/>
    <w:rsid w:val="004D1FC4"/>
    <w:rsid w:val="004E7D43"/>
    <w:rsid w:val="004F29BD"/>
    <w:rsid w:val="00501F57"/>
    <w:rsid w:val="00517114"/>
    <w:rsid w:val="00517C67"/>
    <w:rsid w:val="00527462"/>
    <w:rsid w:val="005425F9"/>
    <w:rsid w:val="00563C00"/>
    <w:rsid w:val="00570E89"/>
    <w:rsid w:val="00575987"/>
    <w:rsid w:val="0058266D"/>
    <w:rsid w:val="00587B2E"/>
    <w:rsid w:val="005929E2"/>
    <w:rsid w:val="00594C85"/>
    <w:rsid w:val="005B0829"/>
    <w:rsid w:val="005C2F4A"/>
    <w:rsid w:val="005D696F"/>
    <w:rsid w:val="005F274B"/>
    <w:rsid w:val="00600E42"/>
    <w:rsid w:val="00623BC0"/>
    <w:rsid w:val="00631DF7"/>
    <w:rsid w:val="00633898"/>
    <w:rsid w:val="00637520"/>
    <w:rsid w:val="006648DD"/>
    <w:rsid w:val="00667DB6"/>
    <w:rsid w:val="00694303"/>
    <w:rsid w:val="00694B7B"/>
    <w:rsid w:val="006A0B2B"/>
    <w:rsid w:val="006A6E7B"/>
    <w:rsid w:val="006B70C6"/>
    <w:rsid w:val="006C25A4"/>
    <w:rsid w:val="006D58B4"/>
    <w:rsid w:val="006E6F61"/>
    <w:rsid w:val="00704750"/>
    <w:rsid w:val="0072332B"/>
    <w:rsid w:val="00726FCB"/>
    <w:rsid w:val="00742A15"/>
    <w:rsid w:val="00745285"/>
    <w:rsid w:val="007A2338"/>
    <w:rsid w:val="007B04AC"/>
    <w:rsid w:val="007B0AF8"/>
    <w:rsid w:val="00805E9C"/>
    <w:rsid w:val="00812B37"/>
    <w:rsid w:val="00823C5F"/>
    <w:rsid w:val="0083206C"/>
    <w:rsid w:val="00833B4E"/>
    <w:rsid w:val="008367C3"/>
    <w:rsid w:val="008568AE"/>
    <w:rsid w:val="00885E5D"/>
    <w:rsid w:val="008913AF"/>
    <w:rsid w:val="0089479E"/>
    <w:rsid w:val="00895316"/>
    <w:rsid w:val="00897642"/>
    <w:rsid w:val="008A1F5F"/>
    <w:rsid w:val="008B0E60"/>
    <w:rsid w:val="008C01A4"/>
    <w:rsid w:val="008C0324"/>
    <w:rsid w:val="008C41DD"/>
    <w:rsid w:val="008C56E2"/>
    <w:rsid w:val="008D5278"/>
    <w:rsid w:val="008E60C6"/>
    <w:rsid w:val="008F3EB2"/>
    <w:rsid w:val="008F6E62"/>
    <w:rsid w:val="008F7AA2"/>
    <w:rsid w:val="00900645"/>
    <w:rsid w:val="00903E18"/>
    <w:rsid w:val="00927930"/>
    <w:rsid w:val="009474E6"/>
    <w:rsid w:val="00950D76"/>
    <w:rsid w:val="0097790D"/>
    <w:rsid w:val="0098350F"/>
    <w:rsid w:val="00987DE7"/>
    <w:rsid w:val="009959B0"/>
    <w:rsid w:val="009A0A72"/>
    <w:rsid w:val="009A2B61"/>
    <w:rsid w:val="009B4ED6"/>
    <w:rsid w:val="009C368C"/>
    <w:rsid w:val="009C7223"/>
    <w:rsid w:val="009D36D2"/>
    <w:rsid w:val="009E5A1C"/>
    <w:rsid w:val="009F43CF"/>
    <w:rsid w:val="00A00111"/>
    <w:rsid w:val="00A03074"/>
    <w:rsid w:val="00A122BA"/>
    <w:rsid w:val="00A15F54"/>
    <w:rsid w:val="00A24961"/>
    <w:rsid w:val="00A27820"/>
    <w:rsid w:val="00A55A13"/>
    <w:rsid w:val="00A617D6"/>
    <w:rsid w:val="00A7750E"/>
    <w:rsid w:val="00A9072A"/>
    <w:rsid w:val="00AA52D3"/>
    <w:rsid w:val="00AB17F4"/>
    <w:rsid w:val="00AB2DEF"/>
    <w:rsid w:val="00AB7F1D"/>
    <w:rsid w:val="00AD0144"/>
    <w:rsid w:val="00AE046E"/>
    <w:rsid w:val="00AE7BD2"/>
    <w:rsid w:val="00B11FF3"/>
    <w:rsid w:val="00B155B6"/>
    <w:rsid w:val="00B23826"/>
    <w:rsid w:val="00B327EB"/>
    <w:rsid w:val="00B33F7B"/>
    <w:rsid w:val="00B52137"/>
    <w:rsid w:val="00B66118"/>
    <w:rsid w:val="00B77CC0"/>
    <w:rsid w:val="00B82CED"/>
    <w:rsid w:val="00B8333F"/>
    <w:rsid w:val="00B84BD9"/>
    <w:rsid w:val="00B928D3"/>
    <w:rsid w:val="00BA5377"/>
    <w:rsid w:val="00BA6D1C"/>
    <w:rsid w:val="00BB083D"/>
    <w:rsid w:val="00BC658B"/>
    <w:rsid w:val="00BC671C"/>
    <w:rsid w:val="00BE03A3"/>
    <w:rsid w:val="00BF0925"/>
    <w:rsid w:val="00C11425"/>
    <w:rsid w:val="00C21A96"/>
    <w:rsid w:val="00C47E04"/>
    <w:rsid w:val="00C5018A"/>
    <w:rsid w:val="00C54F6B"/>
    <w:rsid w:val="00C551E5"/>
    <w:rsid w:val="00C63838"/>
    <w:rsid w:val="00C66C15"/>
    <w:rsid w:val="00C71844"/>
    <w:rsid w:val="00C73F50"/>
    <w:rsid w:val="00C8088D"/>
    <w:rsid w:val="00C8537D"/>
    <w:rsid w:val="00C858B4"/>
    <w:rsid w:val="00C93912"/>
    <w:rsid w:val="00CC3E2A"/>
    <w:rsid w:val="00CC43A5"/>
    <w:rsid w:val="00CE2260"/>
    <w:rsid w:val="00CE2B9B"/>
    <w:rsid w:val="00CE56DB"/>
    <w:rsid w:val="00D10919"/>
    <w:rsid w:val="00D14B57"/>
    <w:rsid w:val="00D15DCF"/>
    <w:rsid w:val="00D45F0C"/>
    <w:rsid w:val="00D5447E"/>
    <w:rsid w:val="00D60341"/>
    <w:rsid w:val="00DA77C8"/>
    <w:rsid w:val="00DC1153"/>
    <w:rsid w:val="00DC4918"/>
    <w:rsid w:val="00DD096B"/>
    <w:rsid w:val="00DF07B3"/>
    <w:rsid w:val="00DF2B76"/>
    <w:rsid w:val="00E05703"/>
    <w:rsid w:val="00E12FA3"/>
    <w:rsid w:val="00E27DE3"/>
    <w:rsid w:val="00E33B70"/>
    <w:rsid w:val="00E573D3"/>
    <w:rsid w:val="00E6245C"/>
    <w:rsid w:val="00E80AFD"/>
    <w:rsid w:val="00E81230"/>
    <w:rsid w:val="00E812B1"/>
    <w:rsid w:val="00E852B2"/>
    <w:rsid w:val="00E873C8"/>
    <w:rsid w:val="00E93F7C"/>
    <w:rsid w:val="00EB2357"/>
    <w:rsid w:val="00ED5E74"/>
    <w:rsid w:val="00EE4FAC"/>
    <w:rsid w:val="00EF5FFC"/>
    <w:rsid w:val="00F05134"/>
    <w:rsid w:val="00F07CFF"/>
    <w:rsid w:val="00F264D1"/>
    <w:rsid w:val="00F320C1"/>
    <w:rsid w:val="00F36D7C"/>
    <w:rsid w:val="00F4492D"/>
    <w:rsid w:val="00F51EEE"/>
    <w:rsid w:val="00F84982"/>
    <w:rsid w:val="00F86B33"/>
    <w:rsid w:val="00F9040A"/>
    <w:rsid w:val="00F913E0"/>
    <w:rsid w:val="00F97AB9"/>
    <w:rsid w:val="00FA187B"/>
    <w:rsid w:val="00FE1AD5"/>
    <w:rsid w:val="00FE2A9A"/>
    <w:rsid w:val="00FF1589"/>
    <w:rsid w:val="00FF3021"/>
    <w:rsid w:val="00FF738C"/>
    <w:rsid w:val="00FF783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5B1E4A7B"/>
  <w15:docId w15:val="{D3EC9B78-392D-459F-BA33-8D22CB3C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AB2DEF"/>
    <w:pPr>
      <w:tabs>
        <w:tab w:val="center" w:pos="4419"/>
        <w:tab w:val="right" w:pos="8838"/>
      </w:tabs>
      <w:spacing w:after="0" w:line="240" w:lineRule="auto"/>
    </w:pPr>
  </w:style>
  <w:style w:type="character" w:customStyle="1" w:styleId="EncabezadoCar">
    <w:name w:val="Encabezado Car"/>
    <w:basedOn w:val="Fuentedeprrafopredeter"/>
    <w:link w:val="Encabezado"/>
    <w:rsid w:val="00AB2DEF"/>
  </w:style>
  <w:style w:type="paragraph" w:styleId="Piedepgina">
    <w:name w:val="footer"/>
    <w:basedOn w:val="Normal"/>
    <w:link w:val="PiedepginaCar"/>
    <w:unhideWhenUsed/>
    <w:rsid w:val="00AB2DEF"/>
    <w:pPr>
      <w:tabs>
        <w:tab w:val="center" w:pos="4419"/>
        <w:tab w:val="right" w:pos="8838"/>
      </w:tabs>
      <w:spacing w:after="0" w:line="240" w:lineRule="auto"/>
    </w:pPr>
  </w:style>
  <w:style w:type="character" w:customStyle="1" w:styleId="PiedepginaCar">
    <w:name w:val="Pie de página Car"/>
    <w:basedOn w:val="Fuentedeprrafopredeter"/>
    <w:link w:val="Piedepgina"/>
    <w:rsid w:val="00AB2DEF"/>
  </w:style>
  <w:style w:type="paragraph" w:styleId="Ttulo">
    <w:name w:val="Title"/>
    <w:basedOn w:val="Normal"/>
    <w:link w:val="TtuloCar"/>
    <w:qFormat/>
    <w:rsid w:val="002824B6"/>
    <w:pPr>
      <w:spacing w:after="0" w:line="240" w:lineRule="auto"/>
      <w:jc w:val="center"/>
      <w:outlineLvl w:val="0"/>
    </w:pPr>
    <w:rPr>
      <w:rFonts w:ascii="Arial" w:eastAsia="Times New Roman" w:hAnsi="Arial" w:cs="Times New Roman"/>
      <w:b/>
      <w:bCs/>
      <w:lang w:val="es-MX" w:eastAsia="es-ES"/>
    </w:rPr>
  </w:style>
  <w:style w:type="character" w:customStyle="1" w:styleId="TtuloCar">
    <w:name w:val="Título Car"/>
    <w:basedOn w:val="Fuentedeprrafopredeter"/>
    <w:link w:val="Ttulo"/>
    <w:rsid w:val="002824B6"/>
    <w:rPr>
      <w:rFonts w:ascii="Arial" w:eastAsia="Times New Roman" w:hAnsi="Arial" w:cs="Times New Roman"/>
      <w:b/>
      <w:bCs/>
      <w:lang w:val="es-MX" w:eastAsia="es-ES"/>
    </w:rPr>
  </w:style>
  <w:style w:type="character" w:styleId="Nmerodepgina">
    <w:name w:val="page number"/>
    <w:basedOn w:val="Fuentedeprrafopredeter"/>
    <w:rsid w:val="00CC43A5"/>
  </w:style>
  <w:style w:type="paragraph" w:styleId="Prrafodelista">
    <w:name w:val="List Paragraph"/>
    <w:basedOn w:val="Normal"/>
    <w:uiPriority w:val="34"/>
    <w:qFormat/>
    <w:rsid w:val="00DF2B76"/>
    <w:pPr>
      <w:ind w:left="720"/>
      <w:contextualSpacing/>
    </w:pPr>
  </w:style>
  <w:style w:type="paragraph" w:styleId="Textodeglobo">
    <w:name w:val="Balloon Text"/>
    <w:basedOn w:val="Normal"/>
    <w:link w:val="TextodegloboCar"/>
    <w:uiPriority w:val="99"/>
    <w:semiHidden/>
    <w:unhideWhenUsed/>
    <w:rsid w:val="00DF2B7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F2B76"/>
    <w:rPr>
      <w:rFonts w:ascii="Tahoma" w:hAnsi="Tahoma" w:cs="Tahoma"/>
      <w:sz w:val="16"/>
      <w:szCs w:val="16"/>
    </w:rPr>
  </w:style>
  <w:style w:type="character" w:styleId="Refdecomentario">
    <w:name w:val="annotation reference"/>
    <w:basedOn w:val="Fuentedeprrafopredeter"/>
    <w:uiPriority w:val="99"/>
    <w:semiHidden/>
    <w:unhideWhenUsed/>
    <w:rsid w:val="004B55FF"/>
    <w:rPr>
      <w:sz w:val="16"/>
      <w:szCs w:val="16"/>
    </w:rPr>
  </w:style>
  <w:style w:type="paragraph" w:styleId="Textocomentario">
    <w:name w:val="annotation text"/>
    <w:basedOn w:val="Normal"/>
    <w:link w:val="TextocomentarioCar"/>
    <w:uiPriority w:val="99"/>
    <w:semiHidden/>
    <w:unhideWhenUsed/>
    <w:rsid w:val="004B55F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4B55FF"/>
    <w:rPr>
      <w:sz w:val="20"/>
      <w:szCs w:val="20"/>
    </w:rPr>
  </w:style>
  <w:style w:type="paragraph" w:styleId="Asuntodelcomentario">
    <w:name w:val="annotation subject"/>
    <w:basedOn w:val="Textocomentario"/>
    <w:next w:val="Textocomentario"/>
    <w:link w:val="AsuntodelcomentarioCar"/>
    <w:uiPriority w:val="99"/>
    <w:semiHidden/>
    <w:unhideWhenUsed/>
    <w:rsid w:val="004B55FF"/>
    <w:rPr>
      <w:b/>
      <w:bCs/>
    </w:rPr>
  </w:style>
  <w:style w:type="character" w:customStyle="1" w:styleId="AsuntodelcomentarioCar">
    <w:name w:val="Asunto del comentario Car"/>
    <w:basedOn w:val="TextocomentarioCar"/>
    <w:link w:val="Asuntodelcomentario"/>
    <w:uiPriority w:val="99"/>
    <w:semiHidden/>
    <w:rsid w:val="004B55FF"/>
    <w:rPr>
      <w:b/>
      <w:bCs/>
      <w:sz w:val="20"/>
      <w:szCs w:val="20"/>
    </w:rPr>
  </w:style>
  <w:style w:type="paragraph" w:styleId="Textoindependiente">
    <w:name w:val="Body Text"/>
    <w:basedOn w:val="Normal"/>
    <w:link w:val="TextoindependienteCar"/>
    <w:rsid w:val="00DA77C8"/>
    <w:pPr>
      <w:spacing w:after="0" w:line="240" w:lineRule="auto"/>
      <w:jc w:val="both"/>
    </w:pPr>
    <w:rPr>
      <w:rFonts w:ascii="Arial" w:eastAsia="Times New Roman" w:hAnsi="Arial" w:cs="Arial"/>
      <w:spacing w:val="20"/>
      <w:sz w:val="24"/>
      <w:szCs w:val="24"/>
      <w:lang w:val="es-MX" w:eastAsia="es-ES"/>
    </w:rPr>
  </w:style>
  <w:style w:type="character" w:customStyle="1" w:styleId="TextoindependienteCar">
    <w:name w:val="Texto independiente Car"/>
    <w:basedOn w:val="Fuentedeprrafopredeter"/>
    <w:link w:val="Textoindependiente"/>
    <w:rsid w:val="00DA77C8"/>
    <w:rPr>
      <w:rFonts w:ascii="Arial" w:eastAsia="Times New Roman" w:hAnsi="Arial" w:cs="Arial"/>
      <w:spacing w:val="20"/>
      <w:sz w:val="24"/>
      <w:szCs w:val="24"/>
      <w:lang w:val="es-MX" w:eastAsia="es-ES"/>
    </w:rPr>
  </w:style>
  <w:style w:type="paragraph" w:styleId="Revisin">
    <w:name w:val="Revision"/>
    <w:hidden/>
    <w:uiPriority w:val="99"/>
    <w:semiHidden/>
    <w:rsid w:val="00EF5F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A3B2B5BF4D9346AE52374D4516EFA7" ma:contentTypeVersion="4" ma:contentTypeDescription="Create a new document." ma:contentTypeScope="" ma:versionID="4e6c7638c40d9158dc39d376d6fcac9e">
  <xsd:schema xmlns:xsd="http://www.w3.org/2001/XMLSchema" xmlns:xs="http://www.w3.org/2001/XMLSchema" xmlns:p="http://schemas.microsoft.com/office/2006/metadata/properties" xmlns:ns2="d95b0970-5acb-4d2d-9ce8-52a336339375" xmlns:ns3="5d85e57c-973f-4f5f-948f-8972e6e7a9ce" targetNamespace="http://schemas.microsoft.com/office/2006/metadata/properties" ma:root="true" ma:fieldsID="a37618d3bcee1ba8f8e5e06733aa854d" ns2:_="" ns3:_="">
    <xsd:import namespace="d95b0970-5acb-4d2d-9ce8-52a336339375"/>
    <xsd:import namespace="5d85e57c-973f-4f5f-948f-8972e6e7a9c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5b0970-5acb-4d2d-9ce8-52a3363393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85e57c-973f-4f5f-948f-8972e6e7a9c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DB5BAF-2B4A-41FD-AFDF-302129433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5b0970-5acb-4d2d-9ce8-52a336339375"/>
    <ds:schemaRef ds:uri="5d85e57c-973f-4f5f-948f-8972e6e7a9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2B9A07-CF00-4528-91F4-72419D5D33AB}">
  <ds:schemaRefs>
    <ds:schemaRef ds:uri="http://purl.org/dc/elements/1.1/"/>
    <ds:schemaRef ds:uri="http://schemas.microsoft.com/office/2006/metadata/properties"/>
    <ds:schemaRef ds:uri="d95b0970-5acb-4d2d-9ce8-52a33633937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d85e57c-973f-4f5f-948f-8972e6e7a9ce"/>
    <ds:schemaRef ds:uri="http://www.w3.org/XML/1998/namespace"/>
  </ds:schemaRefs>
</ds:datastoreItem>
</file>

<file path=customXml/itemProps3.xml><?xml version="1.0" encoding="utf-8"?>
<ds:datastoreItem xmlns:ds="http://schemas.openxmlformats.org/officeDocument/2006/customXml" ds:itemID="{132A85D9-BF80-4627-91D3-6E4D881DC85F}">
  <ds:schemaRefs>
    <ds:schemaRef ds:uri="http://schemas.openxmlformats.org/officeDocument/2006/bibliography"/>
  </ds:schemaRefs>
</ds:datastoreItem>
</file>

<file path=customXml/itemProps4.xml><?xml version="1.0" encoding="utf-8"?>
<ds:datastoreItem xmlns:ds="http://schemas.openxmlformats.org/officeDocument/2006/customXml" ds:itemID="{4E440932-77BD-4BE5-A493-2D21336BB5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851</Words>
  <Characters>4681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superfinanciera</Company>
  <LinksUpToDate>false</LinksUpToDate>
  <CharactersWithSpaces>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Andres Felipe Vera Valencia</dc:creator>
  <cp:keywords/>
  <dc:description/>
  <cp:lastModifiedBy>Gabriel Armando Ospina Garcia</cp:lastModifiedBy>
  <cp:revision>24</cp:revision>
  <cp:lastPrinted>2023-05-16T21:47:00Z</cp:lastPrinted>
  <dcterms:created xsi:type="dcterms:W3CDTF">2023-04-25T23:12:00Z</dcterms:created>
  <dcterms:modified xsi:type="dcterms:W3CDTF">2023-06-30T20:49:00Z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0x01010005A3B2B5BF4D9346AE52374D4516EFA7</vt:lpwstr>
  </property>
</Properties>
</file>